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57CD95" w14:textId="69ACF58C" w:rsidR="009E2764" w:rsidRDefault="00287316" w:rsidP="005D5C9A">
      <w:pPr>
        <w:pStyle w:val="Titel"/>
        <w:spacing w:before="0" w:after="240" w:line="400" w:lineRule="exact"/>
        <w:divId w:val="1789353983"/>
      </w:pPr>
      <w:r>
        <w:rPr>
          <w:rFonts w:cs="Arial"/>
        </w:rPr>
        <w:t>Auszug</w:t>
      </w:r>
      <w:r w:rsidR="00931CE6" w:rsidRPr="00F84DC7">
        <w:rPr>
          <w:rFonts w:cs="Arial"/>
        </w:rPr>
        <w:t xml:space="preserve"> aus dem </w:t>
      </w:r>
      <w:r w:rsidR="009E2764" w:rsidRPr="00F84DC7">
        <w:rPr>
          <w:rFonts w:cs="Arial"/>
        </w:rPr>
        <w:t>IDW Prüfungshinweis:</w:t>
      </w:r>
      <w:r w:rsidR="009E2764" w:rsidRPr="00F84DC7">
        <w:rPr>
          <w:rFonts w:cs="Arial"/>
        </w:rPr>
        <w:br/>
      </w:r>
      <w:r w:rsidR="00F175E0">
        <w:t xml:space="preserve">Besonderheiten der Prüfung nach § 19 Abs. 2 Satz 15 StromNEV i.V.m. § 30 Abs. 1 Nr. 7 KWKG 2016 der Jahresabrechnung über </w:t>
      </w:r>
      <w:r>
        <w:br/>
      </w:r>
      <w:r w:rsidR="00F175E0">
        <w:t xml:space="preserve">entgangene Netzentgelterlöse eines Netzbetreibers </w:t>
      </w:r>
      <w:r>
        <w:br/>
      </w:r>
      <w:r w:rsidR="00F175E0">
        <w:t>für das Kalenderjahr 2025</w:t>
      </w:r>
      <w:r w:rsidR="00F175E0">
        <w:br/>
        <w:t>(IDW PH 9.970.30 (02.2026))</w:t>
      </w:r>
    </w:p>
    <w:p w14:paraId="7312491E" w14:textId="218FBB37" w:rsidR="00287316" w:rsidRPr="00287316" w:rsidRDefault="00287316" w:rsidP="00287316">
      <w:pPr>
        <w:pStyle w:val="idwfassung"/>
        <w:divId w:val="1789353983"/>
      </w:pPr>
      <w:r>
        <w:t>(Stand: 18.06.2026)</w:t>
      </w:r>
    </w:p>
    <w:p w14:paraId="1A51881A" w14:textId="22E67FF4" w:rsidR="00AE02DF" w:rsidRDefault="00A5457A" w:rsidP="00B45C23">
      <w:pPr>
        <w:pStyle w:val="idwrzabsatz"/>
        <w:ind w:firstLine="0"/>
        <w:divId w:val="1789353983"/>
      </w:pPr>
      <w:r w:rsidRPr="00A5457A">
        <w:t xml:space="preserve">Im Folgenden wird das Muster für die Jahresabrechnung über entgangene Netzentgelterlöse eines Netzbetreibers wiedergegeben, welches der Anlage des </w:t>
      </w:r>
      <w:r w:rsidRPr="00A5457A">
        <w:rPr>
          <w:i/>
        </w:rPr>
        <w:t xml:space="preserve">IDW Prüfungshinweises: </w:t>
      </w:r>
      <w:r w:rsidR="00BC18D2" w:rsidRPr="00BC18D2">
        <w:rPr>
          <w:i/>
        </w:rPr>
        <w:t xml:space="preserve">Besonderheiten der Prüfung nach § 19 Abs. 2 Satz 15 StromNEV </w:t>
      </w:r>
      <w:proofErr w:type="spellStart"/>
      <w:r w:rsidR="00BC18D2" w:rsidRPr="00BC18D2">
        <w:rPr>
          <w:i/>
        </w:rPr>
        <w:t>i.V.m</w:t>
      </w:r>
      <w:proofErr w:type="spellEnd"/>
      <w:r w:rsidR="00BC18D2" w:rsidRPr="00BC18D2">
        <w:rPr>
          <w:i/>
        </w:rPr>
        <w:t>. § 30 Abs. 1 Nr. 7 KWKG 2016 der Jahresabrechnung über entgangene Netzentgelterlöse eines Netzbetreibers</w:t>
      </w:r>
      <w:r w:rsidRPr="00A5457A">
        <w:rPr>
          <w:i/>
        </w:rPr>
        <w:t xml:space="preserve"> für das Kalenderjahr 2025 (IDW PH 9.970.</w:t>
      </w:r>
      <w:r w:rsidR="00BC18D2">
        <w:rPr>
          <w:i/>
        </w:rPr>
        <w:t>30</w:t>
      </w:r>
      <w:r w:rsidRPr="00A5457A">
        <w:rPr>
          <w:i/>
        </w:rPr>
        <w:t xml:space="preserve"> (02.2026))</w:t>
      </w:r>
      <w:r w:rsidRPr="00A5457A">
        <w:t xml:space="preserve"> (Stand: 18.02.2026) entnommen wurde. Diese Datei kann zwar nicht verändert werden, aber die Textpassagen und Tabellen können in ein neues Dokument kopiert und dort bearbeitet werden. Der vollständige </w:t>
      </w:r>
      <w:r w:rsidRPr="00A5457A">
        <w:rPr>
          <w:i/>
        </w:rPr>
        <w:t>IDW PH 9.970.</w:t>
      </w:r>
      <w:r w:rsidR="007535C3">
        <w:rPr>
          <w:i/>
        </w:rPr>
        <w:t>30</w:t>
      </w:r>
      <w:r w:rsidRPr="00A5457A">
        <w:rPr>
          <w:i/>
        </w:rPr>
        <w:t xml:space="preserve"> (02.2026)</w:t>
      </w:r>
      <w:r w:rsidRPr="00A5457A">
        <w:t xml:space="preserve"> wurde in der Zeitschrift IDW Life 3/2026 veröffentlicht oder kann über die IDW Verlag GmbH bezogen werden (</w:t>
      </w:r>
      <w:hyperlink r:id="rId12" w:history="1">
        <w:r w:rsidRPr="00A5457A">
          <w:rPr>
            <w:rStyle w:val="Hyperlink"/>
          </w:rPr>
          <w:t>www.idw.de/idw-verlag</w:t>
        </w:r>
      </w:hyperlink>
      <w:r w:rsidRPr="00A5457A">
        <w:t>).</w:t>
      </w:r>
    </w:p>
    <w:p w14:paraId="08DBF824" w14:textId="77777777" w:rsidR="0069033D" w:rsidRDefault="0069033D" w:rsidP="00B45C23">
      <w:pPr>
        <w:pStyle w:val="idwrzabsatz"/>
        <w:ind w:firstLine="0"/>
        <w:divId w:val="1789353983"/>
      </w:pPr>
    </w:p>
    <w:p w14:paraId="34A8AA86" w14:textId="30598DFD" w:rsidR="00A13CAD" w:rsidRDefault="007535C3" w:rsidP="007535C3">
      <w:pPr>
        <w:pStyle w:val="berschrift1"/>
        <w:tabs>
          <w:tab w:val="left" w:pos="1134"/>
        </w:tabs>
        <w:ind w:left="1134" w:hanging="1134"/>
      </w:pPr>
      <w:bookmarkStart w:id="0" w:name="_Toc222410655"/>
      <w:bookmarkStart w:id="1" w:name="_Toc222411479"/>
      <w:r>
        <w:t>Anlage:</w:t>
      </w:r>
      <w:r>
        <w:tab/>
      </w:r>
      <w:r w:rsidR="00A13CAD">
        <w:t>Formulierungsvorschlag für den Prüfungsvermerk über die Prüfung nach § 19 Abs. 2 Satz 15 StromNEV i.V.m. § 30 Abs. 1 Nr. 7 KWKG 2016 sowie Muster für die Jahresabrechnung über entgangene Netzentgelterlöse eines Netzbetreibers</w:t>
      </w:r>
      <w:bookmarkEnd w:id="0"/>
      <w:bookmarkEnd w:id="1"/>
    </w:p>
    <w:p w14:paraId="0C9738C9" w14:textId="5D4F8AC0" w:rsidR="00A13CAD" w:rsidRDefault="00287316" w:rsidP="00A13CAD">
      <w:pPr>
        <w:spacing w:before="100" w:beforeAutospacing="1" w:after="100" w:afterAutospacing="1"/>
        <w:rPr>
          <w:rFonts w:eastAsiaTheme="minorEastAsia"/>
        </w:rPr>
      </w:pPr>
      <w:r>
        <w:t>[…]</w:t>
      </w:r>
    </w:p>
    <w:p w14:paraId="57A2B6F5" w14:textId="7BE3A8A3" w:rsidR="00A13CAD" w:rsidRDefault="00A13CAD" w:rsidP="00287316">
      <w:pPr>
        <w:pStyle w:val="berschrift2"/>
        <w:ind w:left="0" w:firstLine="0"/>
      </w:pPr>
      <w:bookmarkStart w:id="2" w:name="_Toc222411481"/>
      <w:r>
        <w:t>Muster für die Jahresabrechnung über entgangene Netzentgelterlöse eines Netzbetreibers i.S. des § 19 Abs. 2 Satz 15 StromNEV i.V.m. § 28 Abs. 6 Satz 2 KWKG 2016</w:t>
      </w:r>
      <w:bookmarkEnd w:id="2"/>
    </w:p>
    <w:p w14:paraId="1851C9AC" w14:textId="77777777" w:rsidR="00A13CAD" w:rsidRDefault="00A13CAD" w:rsidP="00A13CAD">
      <w:pPr>
        <w:spacing w:before="100" w:beforeAutospacing="1" w:after="100" w:afterAutospacing="1"/>
        <w:rPr>
          <w:rFonts w:eastAsiaTheme="minorEastAsia"/>
        </w:rPr>
      </w:pPr>
      <w:r>
        <w:t>Die Jahresabrechnung über entgangene Netzentgelterlöse i.S. des § 19 Abs. 2 Satz 15 StromNEV i.V.m. § 28 Abs. 6 Satz 2 KWKG 2016 ist vom Netzbetreiber aufzustellen und könnte für das Kalenderjahr 2025 bspw. wie folgt gestaltet sein, sofern der Netzbetreiber nicht die für ihn vom Übertragungsnetzbetreiber generierte Quittungsdatei als Jahresabrechnung nutzt. Um klarzustellen, dass die Jahresabrechnung vom zu prüfenden Netzbetreiber aufgestellt wurde, kann es hilfreich sein, wenn diese den Briefkopf des Netzbetreibers trägt und von der Gesellschaft unterzeichnet ist:</w:t>
      </w:r>
    </w:p>
    <w:p w14:paraId="14B277D8" w14:textId="77777777" w:rsidR="00A13CAD" w:rsidRPr="00743A06" w:rsidRDefault="00A13CAD" w:rsidP="00A13CAD">
      <w:pPr>
        <w:keepNext/>
        <w:spacing w:before="100" w:beforeAutospacing="1" w:after="100" w:afterAutospacing="1"/>
        <w:rPr>
          <w:caps/>
        </w:rPr>
      </w:pPr>
      <w:r w:rsidRPr="00743A06">
        <w:rPr>
          <w:b/>
          <w:bCs/>
          <w:caps/>
        </w:rPr>
        <w:lastRenderedPageBreak/>
        <w:t>Jahresabrechnung über entgangene Netzentgelterlöse i.S. des § 19 Abs. 2 Satz 15 StromNEV i.V.m. § 28 Abs. 6 Satz 2 KWKG 2016 der ... [</w:t>
      </w:r>
      <w:r w:rsidRPr="00743A06">
        <w:rPr>
          <w:b/>
          <w:bCs/>
          <w:i/>
          <w:iCs/>
          <w:caps/>
        </w:rPr>
        <w:t>Netzbetreiber</w:t>
      </w:r>
      <w:r w:rsidRPr="00743A06">
        <w:rPr>
          <w:b/>
          <w:bCs/>
          <w:caps/>
        </w:rPr>
        <w:t>] für das Kalenderjahr 2025</w:t>
      </w:r>
    </w:p>
    <w:p w14:paraId="1DAC6154" w14:textId="77777777" w:rsidR="00A13CAD" w:rsidRDefault="00A13CAD" w:rsidP="00A13CAD">
      <w:pPr>
        <w:keepNext/>
        <w:spacing w:before="100" w:beforeAutospacing="1" w:after="100" w:afterAutospacing="1"/>
      </w:pPr>
      <w:r>
        <w:rPr>
          <w:b/>
          <w:bCs/>
        </w:rPr>
        <w:t>Entgangene Erlöse aufgrund von § 19 Abs. 2 StromNEV und § 118 Abs. 6 Satz 9 EnWG für Netznutzung im Kalenderjahr 2025</w:t>
      </w:r>
    </w:p>
    <w:p w14:paraId="791E8E68" w14:textId="77777777" w:rsidR="00A13CAD" w:rsidRDefault="00A13CAD" w:rsidP="00A13CAD">
      <w:pPr>
        <w:spacing w:before="100" w:beforeAutospacing="1" w:after="100" w:afterAutospacing="1"/>
      </w:pPr>
      <w:r>
        <w:t>Die nachfolgende Tabelle gibt die uns, der... [</w:t>
      </w:r>
      <w:r>
        <w:rPr>
          <w:i/>
          <w:iCs/>
        </w:rPr>
        <w:t>Netzbetreiber</w:t>
      </w:r>
      <w:r>
        <w:t>], entgangenen Erlöse für Netznutzung im Kalenderjahr 2025</w:t>
      </w:r>
      <w:r>
        <w:rPr>
          <w:rStyle w:val="Funotenzeichen"/>
        </w:rPr>
        <w:footnoteReference w:id="2"/>
      </w:r>
      <w:r>
        <w:t xml:space="preserve"> wieder, die</w:t>
      </w:r>
    </w:p>
    <w:p w14:paraId="244A2325" w14:textId="77777777" w:rsidR="00A13CAD" w:rsidRDefault="00A13CAD" w:rsidP="00A13CAD">
      <w:pPr>
        <w:pStyle w:val="idwlistfree1"/>
      </w:pPr>
      <w:r>
        <w:t>●</w:t>
      </w:r>
      <w:r>
        <w:tab/>
        <w:t>aus individuellen Netzentgelten für atypische Netznutzung nach § 19 Abs. 2 Satz 1 StromNEV,</w:t>
      </w:r>
    </w:p>
    <w:p w14:paraId="4B33038E" w14:textId="77777777" w:rsidR="00A13CAD" w:rsidRDefault="00A13CAD" w:rsidP="00A13CAD">
      <w:pPr>
        <w:pStyle w:val="idwlistfree1"/>
      </w:pPr>
      <w:r>
        <w:t>●</w:t>
      </w:r>
      <w:r>
        <w:tab/>
        <w:t>aus individuellen Netzentgelten für stromintensive Letztverbraucher nach § 19 Abs. 2 Satz 2 bis 4 StromNEV unter Beachtung der Festlegung BK4-22-089, die im Verwaltungsverfahren nach § 118 Abs. 46a i.V.m. § 29 Abs. 1 EnWG durch die Beschlusskammer 4 der BNetzA am 15.02.2023 beschlossen wurde (unter Berücksichtigung der Änderungen BK4-22-089A01 vom 28.12.2023 sowie BK4-22-089A02 vom 18.06.2024), und</w:t>
      </w:r>
    </w:p>
    <w:p w14:paraId="7F1C3281" w14:textId="77777777" w:rsidR="00A13CAD" w:rsidRDefault="00A13CAD" w:rsidP="00A13CAD">
      <w:pPr>
        <w:pStyle w:val="idwlistfree1"/>
      </w:pPr>
      <w:r>
        <w:t>●</w:t>
      </w:r>
      <w:r>
        <w:tab/>
        <w:t xml:space="preserve">aus der Freistellung von Entgelten für den Netzzugang nach § 118 Abs. 6 Satz 1 i.V.m. Satz 7 und 9 EnWG bei Anlagen, in denen durch Wasserelektrolyse Wasserstoff erzeugt wird, </w:t>
      </w:r>
    </w:p>
    <w:p w14:paraId="77CA697C" w14:textId="77777777" w:rsidR="00A13CAD" w:rsidRDefault="00A13CAD" w:rsidP="00A13CAD">
      <w:pPr>
        <w:spacing w:before="100" w:beforeAutospacing="1" w:after="100" w:afterAutospacing="1"/>
      </w:pPr>
      <w:r>
        <w:t>resultieren:</w:t>
      </w:r>
    </w:p>
    <w:tbl>
      <w:tblPr>
        <w:tblW w:w="5000" w:type="pct"/>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6626"/>
        <w:gridCol w:w="2428"/>
      </w:tblGrid>
      <w:tr w:rsidR="00A13CAD" w14:paraId="6506528C" w14:textId="77777777" w:rsidTr="0050464A">
        <w:trPr>
          <w:tblHeader/>
        </w:trPr>
        <w:tc>
          <w:tcPr>
            <w:tcW w:w="6655" w:type="dxa"/>
            <w:tcBorders>
              <w:top w:val="outset" w:sz="6" w:space="0" w:color="auto"/>
              <w:left w:val="outset" w:sz="6" w:space="0" w:color="auto"/>
              <w:bottom w:val="outset" w:sz="6" w:space="0" w:color="auto"/>
              <w:right w:val="outset" w:sz="6" w:space="0" w:color="auto"/>
            </w:tcBorders>
            <w:hideMark/>
          </w:tcPr>
          <w:p w14:paraId="2B3DA62C" w14:textId="77777777" w:rsidR="00A13CAD" w:rsidRDefault="00A13CAD" w:rsidP="00A13CAD">
            <w:pPr>
              <w:pStyle w:val="idwtababs"/>
              <w:keepNext/>
            </w:pPr>
            <w:r>
              <w:rPr>
                <w:b/>
                <w:bCs w:val="0"/>
              </w:rPr>
              <w:t> </w:t>
            </w:r>
          </w:p>
        </w:tc>
        <w:tc>
          <w:tcPr>
            <w:tcW w:w="2438" w:type="dxa"/>
            <w:tcBorders>
              <w:top w:val="outset" w:sz="6" w:space="0" w:color="auto"/>
              <w:left w:val="outset" w:sz="6" w:space="0" w:color="auto"/>
              <w:bottom w:val="outset" w:sz="6" w:space="0" w:color="auto"/>
              <w:right w:val="outset" w:sz="6" w:space="0" w:color="auto"/>
            </w:tcBorders>
            <w:hideMark/>
          </w:tcPr>
          <w:p w14:paraId="771C9DA7" w14:textId="77777777" w:rsidR="00A13CAD" w:rsidRDefault="00A13CAD" w:rsidP="00A13CAD">
            <w:pPr>
              <w:pStyle w:val="idwtababs"/>
              <w:keepNext/>
              <w:jc w:val="center"/>
            </w:pPr>
            <w:r>
              <w:rPr>
                <w:b/>
                <w:bCs w:val="0"/>
              </w:rPr>
              <w:t>Entgangene Erlöse</w:t>
            </w:r>
          </w:p>
          <w:p w14:paraId="1FD90E4D" w14:textId="77777777" w:rsidR="00A13CAD" w:rsidRDefault="00A13CAD" w:rsidP="00A13CAD">
            <w:pPr>
              <w:pStyle w:val="idwtababs"/>
              <w:keepNext/>
              <w:jc w:val="center"/>
            </w:pPr>
            <w:r>
              <w:rPr>
                <w:b/>
                <w:bCs w:val="0"/>
              </w:rPr>
              <w:t>[EUR]</w:t>
            </w:r>
          </w:p>
        </w:tc>
      </w:tr>
      <w:tr w:rsidR="00A13CAD" w14:paraId="44B3F26A" w14:textId="77777777" w:rsidTr="0050464A">
        <w:tc>
          <w:tcPr>
            <w:tcW w:w="6655" w:type="dxa"/>
            <w:tcBorders>
              <w:top w:val="outset" w:sz="6" w:space="0" w:color="auto"/>
              <w:left w:val="outset" w:sz="6" w:space="0" w:color="auto"/>
              <w:bottom w:val="outset" w:sz="6" w:space="0" w:color="auto"/>
              <w:right w:val="outset" w:sz="6" w:space="0" w:color="auto"/>
            </w:tcBorders>
            <w:hideMark/>
          </w:tcPr>
          <w:p w14:paraId="3E99B600" w14:textId="77777777" w:rsidR="00A13CAD" w:rsidRDefault="00A13CAD" w:rsidP="00A13CAD">
            <w:pPr>
              <w:pStyle w:val="idwtababs"/>
              <w:keepNext/>
            </w:pPr>
            <w:r>
              <w:t>individuelle Netzentgelte für atypische Netznutzung</w:t>
            </w:r>
          </w:p>
        </w:tc>
        <w:tc>
          <w:tcPr>
            <w:tcW w:w="2438" w:type="dxa"/>
            <w:tcBorders>
              <w:top w:val="outset" w:sz="6" w:space="0" w:color="auto"/>
              <w:left w:val="outset" w:sz="6" w:space="0" w:color="auto"/>
              <w:bottom w:val="outset" w:sz="6" w:space="0" w:color="auto"/>
              <w:right w:val="outset" w:sz="6" w:space="0" w:color="auto"/>
            </w:tcBorders>
            <w:hideMark/>
          </w:tcPr>
          <w:p w14:paraId="29E8027B" w14:textId="77777777" w:rsidR="00A13CAD" w:rsidRDefault="00A13CAD" w:rsidP="00A13CAD">
            <w:pPr>
              <w:pStyle w:val="idwtababs"/>
              <w:keepNext/>
            </w:pPr>
            <w:r>
              <w:t> </w:t>
            </w:r>
          </w:p>
        </w:tc>
      </w:tr>
      <w:tr w:rsidR="00A13CAD" w14:paraId="67049C9F" w14:textId="77777777" w:rsidTr="0050464A">
        <w:tc>
          <w:tcPr>
            <w:tcW w:w="6655" w:type="dxa"/>
            <w:tcBorders>
              <w:top w:val="outset" w:sz="6" w:space="0" w:color="auto"/>
              <w:left w:val="outset" w:sz="6" w:space="0" w:color="auto"/>
              <w:bottom w:val="outset" w:sz="6" w:space="0" w:color="auto"/>
              <w:right w:val="outset" w:sz="6" w:space="0" w:color="auto"/>
            </w:tcBorders>
            <w:hideMark/>
          </w:tcPr>
          <w:p w14:paraId="46679C28" w14:textId="77777777" w:rsidR="00A13CAD" w:rsidRDefault="00A13CAD" w:rsidP="00A13CAD">
            <w:pPr>
              <w:pStyle w:val="idwtababs"/>
              <w:keepNext/>
            </w:pPr>
            <w:r>
              <w:t>individuelle Netzentgelte für stromintensive Letztverbraucher</w:t>
            </w:r>
          </w:p>
        </w:tc>
        <w:tc>
          <w:tcPr>
            <w:tcW w:w="2438" w:type="dxa"/>
            <w:tcBorders>
              <w:top w:val="outset" w:sz="6" w:space="0" w:color="auto"/>
              <w:left w:val="outset" w:sz="6" w:space="0" w:color="auto"/>
              <w:bottom w:val="outset" w:sz="6" w:space="0" w:color="auto"/>
              <w:right w:val="outset" w:sz="6" w:space="0" w:color="auto"/>
            </w:tcBorders>
            <w:hideMark/>
          </w:tcPr>
          <w:p w14:paraId="0FDE8798" w14:textId="77777777" w:rsidR="00A13CAD" w:rsidRDefault="00A13CAD" w:rsidP="00A13CAD">
            <w:pPr>
              <w:pStyle w:val="idwtababs"/>
              <w:keepNext/>
            </w:pPr>
            <w:r>
              <w:t> </w:t>
            </w:r>
          </w:p>
        </w:tc>
      </w:tr>
      <w:tr w:rsidR="00A13CAD" w14:paraId="5CA4C61F" w14:textId="77777777" w:rsidTr="0050464A">
        <w:tc>
          <w:tcPr>
            <w:tcW w:w="6655" w:type="dxa"/>
            <w:tcBorders>
              <w:top w:val="outset" w:sz="6" w:space="0" w:color="auto"/>
              <w:left w:val="outset" w:sz="6" w:space="0" w:color="auto"/>
              <w:bottom w:val="outset" w:sz="6" w:space="0" w:color="auto"/>
              <w:right w:val="outset" w:sz="6" w:space="0" w:color="auto"/>
            </w:tcBorders>
            <w:hideMark/>
          </w:tcPr>
          <w:p w14:paraId="36F967C3" w14:textId="77777777" w:rsidR="00A13CAD" w:rsidRDefault="00A13CAD" w:rsidP="00A13CAD">
            <w:pPr>
              <w:pStyle w:val="idwtababs"/>
              <w:keepNext/>
            </w:pPr>
            <w:r>
              <w:t>Freistellung von Netzentgelten bei Anlagen, in denen durch Wasserelektrolyse Wasserstoff erzeugt wird</w:t>
            </w:r>
          </w:p>
        </w:tc>
        <w:tc>
          <w:tcPr>
            <w:tcW w:w="2438" w:type="dxa"/>
            <w:tcBorders>
              <w:top w:val="outset" w:sz="6" w:space="0" w:color="auto"/>
              <w:left w:val="outset" w:sz="6" w:space="0" w:color="auto"/>
              <w:bottom w:val="outset" w:sz="6" w:space="0" w:color="auto"/>
              <w:right w:val="outset" w:sz="6" w:space="0" w:color="auto"/>
            </w:tcBorders>
            <w:hideMark/>
          </w:tcPr>
          <w:p w14:paraId="190E822D" w14:textId="77777777" w:rsidR="00A13CAD" w:rsidRDefault="00A13CAD" w:rsidP="00A13CAD">
            <w:pPr>
              <w:pStyle w:val="idwtababs"/>
              <w:keepNext/>
            </w:pPr>
            <w:r>
              <w:t> </w:t>
            </w:r>
          </w:p>
        </w:tc>
      </w:tr>
      <w:tr w:rsidR="00A13CAD" w14:paraId="542C65E4" w14:textId="77777777" w:rsidTr="0050464A">
        <w:tc>
          <w:tcPr>
            <w:tcW w:w="6655" w:type="dxa"/>
            <w:tcBorders>
              <w:top w:val="outset" w:sz="6" w:space="0" w:color="auto"/>
              <w:left w:val="outset" w:sz="6" w:space="0" w:color="auto"/>
              <w:bottom w:val="outset" w:sz="6" w:space="0" w:color="auto"/>
              <w:right w:val="outset" w:sz="6" w:space="0" w:color="auto"/>
            </w:tcBorders>
            <w:hideMark/>
          </w:tcPr>
          <w:p w14:paraId="385181EE" w14:textId="77777777" w:rsidR="00A13CAD" w:rsidRDefault="00A13CAD" w:rsidP="0050464A">
            <w:pPr>
              <w:pStyle w:val="idwtababs"/>
            </w:pPr>
            <w:r>
              <w:rPr>
                <w:b/>
                <w:bCs w:val="0"/>
              </w:rPr>
              <w:t>Summe</w:t>
            </w:r>
          </w:p>
        </w:tc>
        <w:tc>
          <w:tcPr>
            <w:tcW w:w="2438" w:type="dxa"/>
            <w:tcBorders>
              <w:top w:val="outset" w:sz="6" w:space="0" w:color="auto"/>
              <w:left w:val="outset" w:sz="6" w:space="0" w:color="auto"/>
              <w:bottom w:val="outset" w:sz="6" w:space="0" w:color="auto"/>
              <w:right w:val="outset" w:sz="6" w:space="0" w:color="auto"/>
            </w:tcBorders>
            <w:hideMark/>
          </w:tcPr>
          <w:p w14:paraId="29F26C2B" w14:textId="77777777" w:rsidR="00A13CAD" w:rsidRDefault="00A13CAD" w:rsidP="0050464A">
            <w:pPr>
              <w:pStyle w:val="idwtababs"/>
            </w:pPr>
            <w:r>
              <w:t> </w:t>
            </w:r>
          </w:p>
        </w:tc>
      </w:tr>
    </w:tbl>
    <w:p w14:paraId="464DC57A" w14:textId="77777777" w:rsidR="00A13CAD" w:rsidRDefault="00A13CAD" w:rsidP="00A13CAD">
      <w:pPr>
        <w:spacing w:before="100" w:beforeAutospacing="1" w:after="100" w:afterAutospacing="1"/>
        <w:rPr>
          <w:rFonts w:eastAsiaTheme="minorEastAsia"/>
        </w:rPr>
      </w:pPr>
      <w:r>
        <w:t> </w:t>
      </w:r>
    </w:p>
    <w:p w14:paraId="309DB782" w14:textId="77777777" w:rsidR="00A13CAD" w:rsidRDefault="00A13CAD" w:rsidP="00A13CAD">
      <w:pPr>
        <w:spacing w:before="100" w:beforeAutospacing="1" w:after="100" w:afterAutospacing="1"/>
      </w:pPr>
      <w:r>
        <w:lastRenderedPageBreak/>
        <w:t>[</w:t>
      </w:r>
      <w:r>
        <w:rPr>
          <w:i/>
          <w:iCs/>
        </w:rPr>
        <w:t>Sofern der Netzbetreiber im Rahmen der aktuellen Jahresabrechnung entgangene Erlöse für Vorjahre geltend macht, die bisher nicht in Jahresabrechnungen für Vorjahre enthalten waren:</w:t>
      </w:r>
    </w:p>
    <w:p w14:paraId="2D95B611" w14:textId="77777777" w:rsidR="00A13CAD" w:rsidRDefault="00A13CAD" w:rsidP="00A13CAD">
      <w:pPr>
        <w:keepNext/>
        <w:spacing w:before="100" w:beforeAutospacing="1" w:after="100" w:afterAutospacing="1"/>
      </w:pPr>
      <w:r>
        <w:rPr>
          <w:b/>
          <w:bCs/>
        </w:rPr>
        <w:t>Entgangene Erlöse aufgrund von § 19 Abs. 2 StromNEV und § 118 Abs. 6 Satz 9 EnWG für Netznutzung im Kalenderjahr 2024</w:t>
      </w:r>
    </w:p>
    <w:p w14:paraId="63767AB9" w14:textId="77777777" w:rsidR="00A13CAD" w:rsidRDefault="00A13CAD" w:rsidP="00A13CAD">
      <w:pPr>
        <w:spacing w:before="100" w:beforeAutospacing="1" w:after="100" w:afterAutospacing="1"/>
      </w:pPr>
      <w:r>
        <w:t>Die nachfolgende Tabelle gibt die uns entgangenen Erlöse für Netznutzung im Kalenderjahr 2024 wieder, die</w:t>
      </w:r>
    </w:p>
    <w:p w14:paraId="534EEF29" w14:textId="77777777" w:rsidR="00A13CAD" w:rsidRDefault="00A13CAD" w:rsidP="00A13CAD">
      <w:pPr>
        <w:pStyle w:val="idwlistfree1"/>
      </w:pPr>
      <w:r>
        <w:t>●</w:t>
      </w:r>
      <w:r>
        <w:tab/>
        <w:t>aus individuellen Netzentgelten für atypische Netznutzung nach § 19 Abs. 2 Satz 1 StromNEV,</w:t>
      </w:r>
    </w:p>
    <w:p w14:paraId="1639DD93" w14:textId="77777777" w:rsidR="00A13CAD" w:rsidRDefault="00A13CAD" w:rsidP="00A13CAD">
      <w:pPr>
        <w:pStyle w:val="idwlistfree1"/>
      </w:pPr>
      <w:r>
        <w:t>●</w:t>
      </w:r>
      <w:r>
        <w:tab/>
        <w:t>aus individuellen Netzentgelten für stromintensive Letztverbraucher nach § 19 Abs. 2 Satz 2 bis 4 StromNEV unter Beachtung der Festlegung BK4-22-089, die im Verwaltungsverfahren nach § 118 Abs. 46a i.V.m. § 29 Abs. 1 EnWG durch die Beschlusskammer 4 der BNetzA am 15.02.2023 beschlossen wurde (unter Berücksichtigung der Änderungen BK4-22-089A01 vom 28.12.2023 sowie BK4-22-089A02 vom 18.06.2024), und</w:t>
      </w:r>
    </w:p>
    <w:p w14:paraId="44F61689" w14:textId="77777777" w:rsidR="00A13CAD" w:rsidRDefault="00A13CAD" w:rsidP="00A13CAD">
      <w:pPr>
        <w:pStyle w:val="idwlistfree1"/>
      </w:pPr>
      <w:r>
        <w:t>●</w:t>
      </w:r>
      <w:r>
        <w:tab/>
        <w:t>aus der Freistellung von Entgelten für den Netzzugang nach § 118 Abs. 6 Satz 1 i.V.m. Satz 7 und 9 EnWG bei Anlagen, in denen durch Wasserelektrolyse Wasserstoff erzeugt wird,</w:t>
      </w:r>
    </w:p>
    <w:p w14:paraId="2FCB6036" w14:textId="77777777" w:rsidR="00A13CAD" w:rsidRDefault="00A13CAD" w:rsidP="00A13CAD">
      <w:pPr>
        <w:spacing w:before="100" w:beforeAutospacing="1" w:after="100" w:afterAutospacing="1"/>
      </w:pPr>
      <w:r>
        <w:t>resultieren und die bisher nicht in der Jahresabrechnung für das Kalenderjahr 2024 enthalten waren:</w:t>
      </w:r>
    </w:p>
    <w:tbl>
      <w:tblPr>
        <w:tblW w:w="5000" w:type="pct"/>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6764"/>
        <w:gridCol w:w="2290"/>
      </w:tblGrid>
      <w:tr w:rsidR="00A13CAD" w14:paraId="0F5BDC03" w14:textId="77777777" w:rsidTr="0050464A">
        <w:trPr>
          <w:tblHeader/>
        </w:trPr>
        <w:tc>
          <w:tcPr>
            <w:tcW w:w="7249" w:type="dxa"/>
            <w:tcBorders>
              <w:top w:val="outset" w:sz="6" w:space="0" w:color="auto"/>
              <w:left w:val="outset" w:sz="6" w:space="0" w:color="auto"/>
              <w:bottom w:val="outset" w:sz="6" w:space="0" w:color="auto"/>
              <w:right w:val="outset" w:sz="6" w:space="0" w:color="auto"/>
            </w:tcBorders>
            <w:hideMark/>
          </w:tcPr>
          <w:p w14:paraId="2836B450" w14:textId="77777777" w:rsidR="00A13CAD" w:rsidRDefault="00A13CAD" w:rsidP="00A13CAD">
            <w:pPr>
              <w:pStyle w:val="idwtababs"/>
              <w:keepNext/>
            </w:pPr>
            <w:r>
              <w:rPr>
                <w:b/>
                <w:bCs w:val="0"/>
              </w:rPr>
              <w:t> </w:t>
            </w:r>
          </w:p>
        </w:tc>
        <w:tc>
          <w:tcPr>
            <w:tcW w:w="2438" w:type="dxa"/>
            <w:tcBorders>
              <w:top w:val="outset" w:sz="6" w:space="0" w:color="auto"/>
              <w:left w:val="outset" w:sz="6" w:space="0" w:color="auto"/>
              <w:bottom w:val="outset" w:sz="6" w:space="0" w:color="auto"/>
              <w:right w:val="outset" w:sz="6" w:space="0" w:color="auto"/>
            </w:tcBorders>
            <w:hideMark/>
          </w:tcPr>
          <w:p w14:paraId="55B0197C" w14:textId="77777777" w:rsidR="00A13CAD" w:rsidRDefault="00A13CAD" w:rsidP="00A13CAD">
            <w:pPr>
              <w:pStyle w:val="idwtababs"/>
              <w:keepNext/>
              <w:jc w:val="center"/>
            </w:pPr>
            <w:r>
              <w:rPr>
                <w:b/>
                <w:bCs w:val="0"/>
              </w:rPr>
              <w:t>Entgangene Erlöse</w:t>
            </w:r>
          </w:p>
          <w:p w14:paraId="5FCE7B44" w14:textId="77777777" w:rsidR="00A13CAD" w:rsidRDefault="00A13CAD" w:rsidP="00A13CAD">
            <w:pPr>
              <w:pStyle w:val="idwtababs"/>
              <w:keepNext/>
              <w:jc w:val="center"/>
            </w:pPr>
            <w:r>
              <w:rPr>
                <w:b/>
                <w:bCs w:val="0"/>
              </w:rPr>
              <w:t>[EUR]</w:t>
            </w:r>
          </w:p>
        </w:tc>
      </w:tr>
      <w:tr w:rsidR="00A13CAD" w14:paraId="2A9D9097" w14:textId="77777777" w:rsidTr="0050464A">
        <w:tc>
          <w:tcPr>
            <w:tcW w:w="7249" w:type="dxa"/>
            <w:tcBorders>
              <w:top w:val="outset" w:sz="6" w:space="0" w:color="auto"/>
              <w:left w:val="outset" w:sz="6" w:space="0" w:color="auto"/>
              <w:bottom w:val="outset" w:sz="6" w:space="0" w:color="auto"/>
              <w:right w:val="outset" w:sz="6" w:space="0" w:color="auto"/>
            </w:tcBorders>
            <w:hideMark/>
          </w:tcPr>
          <w:p w14:paraId="52141FAD" w14:textId="77777777" w:rsidR="00A13CAD" w:rsidRDefault="00A13CAD" w:rsidP="00A13CAD">
            <w:pPr>
              <w:pStyle w:val="idwtababs"/>
              <w:keepNext/>
            </w:pPr>
            <w:r>
              <w:t>individuelle Netzentgelte für atypische Netznutzung</w:t>
            </w:r>
          </w:p>
        </w:tc>
        <w:tc>
          <w:tcPr>
            <w:tcW w:w="2438" w:type="dxa"/>
            <w:tcBorders>
              <w:top w:val="outset" w:sz="6" w:space="0" w:color="auto"/>
              <w:left w:val="outset" w:sz="6" w:space="0" w:color="auto"/>
              <w:bottom w:val="outset" w:sz="6" w:space="0" w:color="auto"/>
              <w:right w:val="outset" w:sz="6" w:space="0" w:color="auto"/>
            </w:tcBorders>
            <w:hideMark/>
          </w:tcPr>
          <w:p w14:paraId="69101FB7" w14:textId="77777777" w:rsidR="00A13CAD" w:rsidRDefault="00A13CAD" w:rsidP="00A13CAD">
            <w:pPr>
              <w:pStyle w:val="idwtababs"/>
              <w:keepNext/>
            </w:pPr>
            <w:r>
              <w:t> </w:t>
            </w:r>
          </w:p>
        </w:tc>
      </w:tr>
      <w:tr w:rsidR="00A13CAD" w14:paraId="05095E06" w14:textId="77777777" w:rsidTr="0050464A">
        <w:tc>
          <w:tcPr>
            <w:tcW w:w="7249" w:type="dxa"/>
            <w:tcBorders>
              <w:top w:val="outset" w:sz="6" w:space="0" w:color="auto"/>
              <w:left w:val="outset" w:sz="6" w:space="0" w:color="auto"/>
              <w:bottom w:val="outset" w:sz="6" w:space="0" w:color="auto"/>
              <w:right w:val="outset" w:sz="6" w:space="0" w:color="auto"/>
            </w:tcBorders>
            <w:hideMark/>
          </w:tcPr>
          <w:p w14:paraId="79C0B3EA" w14:textId="77777777" w:rsidR="00A13CAD" w:rsidRDefault="00A13CAD" w:rsidP="00A13CAD">
            <w:pPr>
              <w:pStyle w:val="idwtababs"/>
              <w:keepNext/>
            </w:pPr>
            <w:r>
              <w:t>individuelle Netzentgelte für stromintensive Letztverbraucher</w:t>
            </w:r>
          </w:p>
        </w:tc>
        <w:tc>
          <w:tcPr>
            <w:tcW w:w="2438" w:type="dxa"/>
            <w:tcBorders>
              <w:top w:val="outset" w:sz="6" w:space="0" w:color="auto"/>
              <w:left w:val="outset" w:sz="6" w:space="0" w:color="auto"/>
              <w:bottom w:val="outset" w:sz="6" w:space="0" w:color="auto"/>
              <w:right w:val="outset" w:sz="6" w:space="0" w:color="auto"/>
            </w:tcBorders>
            <w:hideMark/>
          </w:tcPr>
          <w:p w14:paraId="70C307A6" w14:textId="77777777" w:rsidR="00A13CAD" w:rsidRDefault="00A13CAD" w:rsidP="00A13CAD">
            <w:pPr>
              <w:pStyle w:val="idwtababs"/>
              <w:keepNext/>
            </w:pPr>
            <w:r>
              <w:t> </w:t>
            </w:r>
          </w:p>
        </w:tc>
      </w:tr>
      <w:tr w:rsidR="00A13CAD" w14:paraId="1C1DEA89" w14:textId="77777777" w:rsidTr="0050464A">
        <w:tc>
          <w:tcPr>
            <w:tcW w:w="7249" w:type="dxa"/>
            <w:tcBorders>
              <w:top w:val="outset" w:sz="6" w:space="0" w:color="auto"/>
              <w:left w:val="outset" w:sz="6" w:space="0" w:color="auto"/>
              <w:bottom w:val="outset" w:sz="6" w:space="0" w:color="auto"/>
              <w:right w:val="outset" w:sz="6" w:space="0" w:color="auto"/>
            </w:tcBorders>
            <w:hideMark/>
          </w:tcPr>
          <w:p w14:paraId="5368C340" w14:textId="77777777" w:rsidR="00A13CAD" w:rsidRDefault="00A13CAD" w:rsidP="0050464A">
            <w:pPr>
              <w:pStyle w:val="idwtababs"/>
            </w:pPr>
            <w:r>
              <w:t>Freistellung von Netzentgelten bei Anlagen, in denen durch Wasserelektrolyse Wasserstoff erzeugt wird</w:t>
            </w:r>
          </w:p>
        </w:tc>
        <w:tc>
          <w:tcPr>
            <w:tcW w:w="2438" w:type="dxa"/>
            <w:tcBorders>
              <w:top w:val="outset" w:sz="6" w:space="0" w:color="auto"/>
              <w:left w:val="outset" w:sz="6" w:space="0" w:color="auto"/>
              <w:bottom w:val="outset" w:sz="6" w:space="0" w:color="auto"/>
              <w:right w:val="outset" w:sz="6" w:space="0" w:color="auto"/>
            </w:tcBorders>
            <w:hideMark/>
          </w:tcPr>
          <w:p w14:paraId="75175B7E" w14:textId="77777777" w:rsidR="00A13CAD" w:rsidRDefault="00A13CAD" w:rsidP="0050464A">
            <w:pPr>
              <w:pStyle w:val="idwtababs"/>
            </w:pPr>
            <w:r>
              <w:t> </w:t>
            </w:r>
          </w:p>
        </w:tc>
      </w:tr>
      <w:tr w:rsidR="00A13CAD" w14:paraId="6FB7B8EF" w14:textId="77777777" w:rsidTr="0050464A">
        <w:tc>
          <w:tcPr>
            <w:tcW w:w="7249" w:type="dxa"/>
            <w:tcBorders>
              <w:top w:val="outset" w:sz="6" w:space="0" w:color="auto"/>
              <w:left w:val="outset" w:sz="6" w:space="0" w:color="auto"/>
              <w:bottom w:val="outset" w:sz="6" w:space="0" w:color="auto"/>
              <w:right w:val="outset" w:sz="6" w:space="0" w:color="auto"/>
            </w:tcBorders>
            <w:hideMark/>
          </w:tcPr>
          <w:p w14:paraId="42BB43B0" w14:textId="77777777" w:rsidR="00A13CAD" w:rsidRDefault="00A13CAD" w:rsidP="0050464A">
            <w:pPr>
              <w:pStyle w:val="idwtababs"/>
            </w:pPr>
            <w:r>
              <w:rPr>
                <w:b/>
                <w:bCs w:val="0"/>
              </w:rPr>
              <w:t>Summe</w:t>
            </w:r>
          </w:p>
        </w:tc>
        <w:tc>
          <w:tcPr>
            <w:tcW w:w="2438" w:type="dxa"/>
            <w:tcBorders>
              <w:top w:val="outset" w:sz="6" w:space="0" w:color="auto"/>
              <w:left w:val="outset" w:sz="6" w:space="0" w:color="auto"/>
              <w:bottom w:val="outset" w:sz="6" w:space="0" w:color="auto"/>
              <w:right w:val="outset" w:sz="6" w:space="0" w:color="auto"/>
            </w:tcBorders>
            <w:hideMark/>
          </w:tcPr>
          <w:p w14:paraId="2520A070" w14:textId="77777777" w:rsidR="00A13CAD" w:rsidRDefault="00A13CAD" w:rsidP="0050464A">
            <w:pPr>
              <w:pStyle w:val="idwtababs"/>
            </w:pPr>
            <w:r>
              <w:t> </w:t>
            </w:r>
          </w:p>
        </w:tc>
      </w:tr>
    </w:tbl>
    <w:p w14:paraId="763E9744" w14:textId="77777777" w:rsidR="00A13CAD" w:rsidRDefault="00A13CAD" w:rsidP="00A13CAD">
      <w:pPr>
        <w:spacing w:before="100" w:beforeAutospacing="1" w:after="100" w:afterAutospacing="1"/>
        <w:rPr>
          <w:rFonts w:eastAsiaTheme="minorEastAsia"/>
        </w:rPr>
      </w:pPr>
      <w:r>
        <w:t> </w:t>
      </w:r>
    </w:p>
    <w:p w14:paraId="5A3E0203" w14:textId="77777777" w:rsidR="00A13CAD" w:rsidRDefault="00A13CAD" w:rsidP="007535C3">
      <w:pPr>
        <w:keepNext/>
        <w:spacing w:before="100" w:beforeAutospacing="1" w:after="100" w:afterAutospacing="1"/>
      </w:pPr>
      <w:r>
        <w:rPr>
          <w:b/>
          <w:bCs/>
        </w:rPr>
        <w:lastRenderedPageBreak/>
        <w:t>Entgangene Erlöse aufgrund von § 19 Abs. 2 StromNEV und § 118 Abs. 6 Satz 9 EnWG für Netznutzung im Kalenderjahr 2023</w:t>
      </w:r>
    </w:p>
    <w:p w14:paraId="17E0261A" w14:textId="77777777" w:rsidR="00A13CAD" w:rsidRDefault="00A13CAD" w:rsidP="007535C3">
      <w:pPr>
        <w:keepNext/>
        <w:spacing w:before="100" w:beforeAutospacing="1" w:after="100" w:afterAutospacing="1"/>
      </w:pPr>
      <w:r>
        <w:t>Die nachfolgende Tabelle gibt die uns entgangenen Erlöse für Netznutzung im Kalenderjahr 2023 wieder, die</w:t>
      </w:r>
    </w:p>
    <w:p w14:paraId="0D227456" w14:textId="77777777" w:rsidR="00A13CAD" w:rsidRDefault="00A13CAD" w:rsidP="00A13CAD">
      <w:pPr>
        <w:pStyle w:val="idwlistfree1"/>
      </w:pPr>
      <w:r>
        <w:t>●</w:t>
      </w:r>
      <w:r>
        <w:tab/>
        <w:t>aus individuellen Netzentgelten für atypische Netznutzung nach § 19 Abs. 2 Satz 1 StromNEV und</w:t>
      </w:r>
    </w:p>
    <w:p w14:paraId="7DD5C641" w14:textId="77777777" w:rsidR="00A13CAD" w:rsidRDefault="00A13CAD" w:rsidP="00A13CAD">
      <w:pPr>
        <w:pStyle w:val="idwlistfree1"/>
      </w:pPr>
      <w:r>
        <w:t>●</w:t>
      </w:r>
      <w:r>
        <w:tab/>
        <w:t>aus individuellen Netzentgelten für stromintensive Letztverbraucher nach § 19 Abs. 2 Satz 2 bis 4 StromNEV unter Beachtung der Festlegung BK4-22-089, die im Verwaltungsverfahren nach § 118 Abs. 46a i.V.m. § 29 Abs. 1 EnWG durch die Beschlusskammer 4 der BNetzA am 15.02.2023 beschlossen wurde, und</w:t>
      </w:r>
    </w:p>
    <w:p w14:paraId="0D23A29A" w14:textId="77777777" w:rsidR="00A13CAD" w:rsidRDefault="00A13CAD" w:rsidP="00A13CAD">
      <w:pPr>
        <w:pStyle w:val="idwlistfree1"/>
      </w:pPr>
      <w:r>
        <w:t>●</w:t>
      </w:r>
      <w:r>
        <w:tab/>
        <w:t>aus der Freistellung von Entgelten für den Netzzugang nach § 118 Abs. 6 Satz 1 i.V.m. Satz 7 und 9 EnWG bei Anlagen, in denen durch Wasserelektrolyse Wasserstoff erzeugt wird,</w:t>
      </w:r>
    </w:p>
    <w:p w14:paraId="2B21B282" w14:textId="77777777" w:rsidR="00A13CAD" w:rsidRDefault="00A13CAD" w:rsidP="00A13CAD">
      <w:pPr>
        <w:spacing w:before="100" w:beforeAutospacing="1" w:after="100" w:afterAutospacing="1"/>
      </w:pPr>
      <w:r>
        <w:t>resultieren und die bisher nicht in Jahresabrechnungen für Vorjahre enthalten waren:</w:t>
      </w:r>
    </w:p>
    <w:tbl>
      <w:tblPr>
        <w:tblW w:w="5000" w:type="pct"/>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6764"/>
        <w:gridCol w:w="2290"/>
      </w:tblGrid>
      <w:tr w:rsidR="00A13CAD" w14:paraId="497B5C00" w14:textId="77777777" w:rsidTr="0050464A">
        <w:trPr>
          <w:tblHeader/>
        </w:trPr>
        <w:tc>
          <w:tcPr>
            <w:tcW w:w="7249" w:type="dxa"/>
            <w:tcBorders>
              <w:top w:val="outset" w:sz="6" w:space="0" w:color="auto"/>
              <w:left w:val="outset" w:sz="6" w:space="0" w:color="auto"/>
              <w:bottom w:val="outset" w:sz="6" w:space="0" w:color="auto"/>
              <w:right w:val="outset" w:sz="6" w:space="0" w:color="auto"/>
            </w:tcBorders>
            <w:hideMark/>
          </w:tcPr>
          <w:p w14:paraId="46C9E06B" w14:textId="77777777" w:rsidR="00A13CAD" w:rsidRDefault="00A13CAD" w:rsidP="00A13CAD">
            <w:pPr>
              <w:pStyle w:val="idwtababs"/>
              <w:keepNext/>
            </w:pPr>
            <w:r>
              <w:rPr>
                <w:b/>
                <w:bCs w:val="0"/>
              </w:rPr>
              <w:t> </w:t>
            </w:r>
          </w:p>
        </w:tc>
        <w:tc>
          <w:tcPr>
            <w:tcW w:w="2438" w:type="dxa"/>
            <w:tcBorders>
              <w:top w:val="outset" w:sz="6" w:space="0" w:color="auto"/>
              <w:left w:val="outset" w:sz="6" w:space="0" w:color="auto"/>
              <w:bottom w:val="outset" w:sz="6" w:space="0" w:color="auto"/>
              <w:right w:val="outset" w:sz="6" w:space="0" w:color="auto"/>
            </w:tcBorders>
            <w:hideMark/>
          </w:tcPr>
          <w:p w14:paraId="49B355BE" w14:textId="77777777" w:rsidR="00A13CAD" w:rsidRDefault="00A13CAD" w:rsidP="00A13CAD">
            <w:pPr>
              <w:pStyle w:val="idwtababs"/>
              <w:keepNext/>
              <w:jc w:val="center"/>
            </w:pPr>
            <w:r>
              <w:rPr>
                <w:b/>
                <w:bCs w:val="0"/>
              </w:rPr>
              <w:t>Entgangene Erlöse</w:t>
            </w:r>
          </w:p>
          <w:p w14:paraId="7FED30F0" w14:textId="77777777" w:rsidR="00A13CAD" w:rsidRDefault="00A13CAD" w:rsidP="00A13CAD">
            <w:pPr>
              <w:pStyle w:val="idwtababs"/>
              <w:keepNext/>
              <w:jc w:val="center"/>
            </w:pPr>
            <w:r>
              <w:rPr>
                <w:b/>
                <w:bCs w:val="0"/>
              </w:rPr>
              <w:t>[EUR]</w:t>
            </w:r>
          </w:p>
        </w:tc>
      </w:tr>
      <w:tr w:rsidR="00A13CAD" w14:paraId="0EBF2BA0" w14:textId="77777777" w:rsidTr="0050464A">
        <w:tc>
          <w:tcPr>
            <w:tcW w:w="7249" w:type="dxa"/>
            <w:tcBorders>
              <w:top w:val="outset" w:sz="6" w:space="0" w:color="auto"/>
              <w:left w:val="outset" w:sz="6" w:space="0" w:color="auto"/>
              <w:bottom w:val="outset" w:sz="6" w:space="0" w:color="auto"/>
              <w:right w:val="outset" w:sz="6" w:space="0" w:color="auto"/>
            </w:tcBorders>
            <w:hideMark/>
          </w:tcPr>
          <w:p w14:paraId="1C854CBC" w14:textId="77777777" w:rsidR="00A13CAD" w:rsidRDefault="00A13CAD" w:rsidP="00A13CAD">
            <w:pPr>
              <w:pStyle w:val="idwtababs"/>
              <w:keepNext/>
            </w:pPr>
            <w:r>
              <w:t>individuelle Netzentgelte für atypische Netznutzung</w:t>
            </w:r>
          </w:p>
        </w:tc>
        <w:tc>
          <w:tcPr>
            <w:tcW w:w="2438" w:type="dxa"/>
            <w:tcBorders>
              <w:top w:val="outset" w:sz="6" w:space="0" w:color="auto"/>
              <w:left w:val="outset" w:sz="6" w:space="0" w:color="auto"/>
              <w:bottom w:val="outset" w:sz="6" w:space="0" w:color="auto"/>
              <w:right w:val="outset" w:sz="6" w:space="0" w:color="auto"/>
            </w:tcBorders>
            <w:hideMark/>
          </w:tcPr>
          <w:p w14:paraId="40DD8EE1" w14:textId="77777777" w:rsidR="00A13CAD" w:rsidRDefault="00A13CAD" w:rsidP="00A13CAD">
            <w:pPr>
              <w:pStyle w:val="idwtababs"/>
              <w:keepNext/>
            </w:pPr>
            <w:r>
              <w:t> </w:t>
            </w:r>
          </w:p>
        </w:tc>
      </w:tr>
      <w:tr w:rsidR="00A13CAD" w14:paraId="37E98C71" w14:textId="77777777" w:rsidTr="0050464A">
        <w:tc>
          <w:tcPr>
            <w:tcW w:w="7249" w:type="dxa"/>
            <w:tcBorders>
              <w:top w:val="outset" w:sz="6" w:space="0" w:color="auto"/>
              <w:left w:val="outset" w:sz="6" w:space="0" w:color="auto"/>
              <w:bottom w:val="outset" w:sz="6" w:space="0" w:color="auto"/>
              <w:right w:val="outset" w:sz="6" w:space="0" w:color="auto"/>
            </w:tcBorders>
            <w:hideMark/>
          </w:tcPr>
          <w:p w14:paraId="56F96374" w14:textId="77777777" w:rsidR="00A13CAD" w:rsidRDefault="00A13CAD" w:rsidP="00A13CAD">
            <w:pPr>
              <w:pStyle w:val="idwtababs"/>
              <w:keepNext/>
            </w:pPr>
            <w:r>
              <w:t>individuelle Netzentgelte für stromintensive Letztverbraucher</w:t>
            </w:r>
          </w:p>
        </w:tc>
        <w:tc>
          <w:tcPr>
            <w:tcW w:w="2438" w:type="dxa"/>
            <w:tcBorders>
              <w:top w:val="outset" w:sz="6" w:space="0" w:color="auto"/>
              <w:left w:val="outset" w:sz="6" w:space="0" w:color="auto"/>
              <w:bottom w:val="outset" w:sz="6" w:space="0" w:color="auto"/>
              <w:right w:val="outset" w:sz="6" w:space="0" w:color="auto"/>
            </w:tcBorders>
            <w:hideMark/>
          </w:tcPr>
          <w:p w14:paraId="38693A2C" w14:textId="77777777" w:rsidR="00A13CAD" w:rsidRDefault="00A13CAD" w:rsidP="00A13CAD">
            <w:pPr>
              <w:pStyle w:val="idwtababs"/>
              <w:keepNext/>
            </w:pPr>
            <w:r>
              <w:t> </w:t>
            </w:r>
          </w:p>
        </w:tc>
      </w:tr>
      <w:tr w:rsidR="00A13CAD" w14:paraId="62EAAE0A" w14:textId="77777777" w:rsidTr="0050464A">
        <w:tc>
          <w:tcPr>
            <w:tcW w:w="7249" w:type="dxa"/>
            <w:tcBorders>
              <w:top w:val="outset" w:sz="6" w:space="0" w:color="auto"/>
              <w:left w:val="outset" w:sz="6" w:space="0" w:color="auto"/>
              <w:bottom w:val="outset" w:sz="6" w:space="0" w:color="auto"/>
              <w:right w:val="outset" w:sz="6" w:space="0" w:color="auto"/>
            </w:tcBorders>
            <w:hideMark/>
          </w:tcPr>
          <w:p w14:paraId="15BD9874" w14:textId="77777777" w:rsidR="00A13CAD" w:rsidRDefault="00A13CAD" w:rsidP="00A13CAD">
            <w:pPr>
              <w:pStyle w:val="idwtababs"/>
              <w:keepNext/>
            </w:pPr>
            <w:r>
              <w:t>Freistellung von Netzentgelten bei Anlagen, in denen durch Wasserelektrolyse Wasserstoff erzeugt wird</w:t>
            </w:r>
          </w:p>
        </w:tc>
        <w:tc>
          <w:tcPr>
            <w:tcW w:w="2438" w:type="dxa"/>
            <w:tcBorders>
              <w:top w:val="outset" w:sz="6" w:space="0" w:color="auto"/>
              <w:left w:val="outset" w:sz="6" w:space="0" w:color="auto"/>
              <w:bottom w:val="outset" w:sz="6" w:space="0" w:color="auto"/>
              <w:right w:val="outset" w:sz="6" w:space="0" w:color="auto"/>
            </w:tcBorders>
            <w:hideMark/>
          </w:tcPr>
          <w:p w14:paraId="258E65F8" w14:textId="77777777" w:rsidR="00A13CAD" w:rsidRDefault="00A13CAD" w:rsidP="00A13CAD">
            <w:pPr>
              <w:pStyle w:val="idwtababs"/>
              <w:keepNext/>
            </w:pPr>
            <w:r>
              <w:t> </w:t>
            </w:r>
          </w:p>
        </w:tc>
      </w:tr>
      <w:tr w:rsidR="00A13CAD" w14:paraId="47ADA99D" w14:textId="77777777" w:rsidTr="0050464A">
        <w:tc>
          <w:tcPr>
            <w:tcW w:w="7249" w:type="dxa"/>
            <w:tcBorders>
              <w:top w:val="outset" w:sz="6" w:space="0" w:color="auto"/>
              <w:left w:val="outset" w:sz="6" w:space="0" w:color="auto"/>
              <w:bottom w:val="outset" w:sz="6" w:space="0" w:color="auto"/>
              <w:right w:val="outset" w:sz="6" w:space="0" w:color="auto"/>
            </w:tcBorders>
            <w:hideMark/>
          </w:tcPr>
          <w:p w14:paraId="60239264" w14:textId="77777777" w:rsidR="00A13CAD" w:rsidRDefault="00A13CAD" w:rsidP="00A13CAD">
            <w:pPr>
              <w:pStyle w:val="idwtababs"/>
              <w:keepNext/>
            </w:pPr>
            <w:r>
              <w:rPr>
                <w:b/>
                <w:bCs w:val="0"/>
              </w:rPr>
              <w:t>Summe</w:t>
            </w:r>
          </w:p>
        </w:tc>
        <w:tc>
          <w:tcPr>
            <w:tcW w:w="2438" w:type="dxa"/>
            <w:tcBorders>
              <w:top w:val="outset" w:sz="6" w:space="0" w:color="auto"/>
              <w:left w:val="outset" w:sz="6" w:space="0" w:color="auto"/>
              <w:bottom w:val="outset" w:sz="6" w:space="0" w:color="auto"/>
              <w:right w:val="outset" w:sz="6" w:space="0" w:color="auto"/>
            </w:tcBorders>
            <w:hideMark/>
          </w:tcPr>
          <w:p w14:paraId="4FB40196" w14:textId="77777777" w:rsidR="00A13CAD" w:rsidRDefault="00A13CAD" w:rsidP="00A13CAD">
            <w:pPr>
              <w:pStyle w:val="idwtababs"/>
              <w:keepNext/>
            </w:pPr>
            <w:r>
              <w:t> </w:t>
            </w:r>
          </w:p>
        </w:tc>
      </w:tr>
    </w:tbl>
    <w:p w14:paraId="6C50C8DE" w14:textId="77777777" w:rsidR="00A13CAD" w:rsidRDefault="00A13CAD" w:rsidP="00A13CAD">
      <w:pPr>
        <w:spacing w:before="100" w:beforeAutospacing="1" w:after="100" w:afterAutospacing="1"/>
        <w:rPr>
          <w:rFonts w:eastAsiaTheme="minorEastAsia"/>
        </w:rPr>
      </w:pPr>
      <w:r>
        <w:t> </w:t>
      </w:r>
    </w:p>
    <w:p w14:paraId="7236EEDF" w14:textId="77777777" w:rsidR="00A13CAD" w:rsidRDefault="00A13CAD" w:rsidP="00A13CAD">
      <w:pPr>
        <w:keepNext/>
        <w:spacing w:before="100" w:beforeAutospacing="1" w:after="100" w:afterAutospacing="1"/>
      </w:pPr>
      <w:r>
        <w:rPr>
          <w:b/>
          <w:bCs/>
        </w:rPr>
        <w:t>Entgangene Erlöse aufgrund von § 19 Abs. 2 StromNEV für Netznutzung im Kalenderjahr 2022</w:t>
      </w:r>
    </w:p>
    <w:p w14:paraId="4076D587" w14:textId="77777777" w:rsidR="00A13CAD" w:rsidRDefault="00A13CAD" w:rsidP="00A13CAD">
      <w:pPr>
        <w:spacing w:before="100" w:beforeAutospacing="1" w:after="100" w:afterAutospacing="1"/>
      </w:pPr>
      <w:r>
        <w:t>Die nachfolgende Tabelle gibt die uns entgangenen Erlöse für Netznutzung im Kalenderjahr 2022 wieder, die</w:t>
      </w:r>
    </w:p>
    <w:p w14:paraId="29EA60E7" w14:textId="77777777" w:rsidR="00A13CAD" w:rsidRDefault="00A13CAD" w:rsidP="00A13CAD">
      <w:pPr>
        <w:pStyle w:val="idwlistfree1"/>
      </w:pPr>
      <w:r>
        <w:t>●</w:t>
      </w:r>
      <w:r>
        <w:tab/>
        <w:t>aus individuellen Netzentgelten für atypische Netznutzung nach § 19 Abs. 2 Satz 1 StromNEV und</w:t>
      </w:r>
    </w:p>
    <w:p w14:paraId="1F9454FD" w14:textId="77777777" w:rsidR="00A13CAD" w:rsidRDefault="00A13CAD" w:rsidP="00A13CAD">
      <w:pPr>
        <w:pStyle w:val="idwlistfree1"/>
      </w:pPr>
      <w:r>
        <w:t>●</w:t>
      </w:r>
      <w:r>
        <w:tab/>
        <w:t xml:space="preserve">aus individuellen Netzentgelten für stromintensive Letztverbraucher nach § 19 Abs. 2 Satz 2 bis 4 StromNEV unter Beachtung der Festlegung nach § 118 Abs. 46 EnWG </w:t>
      </w:r>
      <w:r>
        <w:lastRenderedPageBreak/>
        <w:t>i.V.m. § 29 Abs. 1 EnWG der Beschlusskammer 4 der BNetzA vom 24.11.2022 (BK4-22-086)</w:t>
      </w:r>
    </w:p>
    <w:p w14:paraId="188D23F0" w14:textId="77777777" w:rsidR="00A13CAD" w:rsidRDefault="00A13CAD" w:rsidP="00A13CAD">
      <w:pPr>
        <w:spacing w:before="100" w:beforeAutospacing="1" w:after="100" w:afterAutospacing="1"/>
      </w:pPr>
      <w:r>
        <w:t>resultieren und die bisher nicht in Jahresabrechnungen für Vorjahre enthalten waren:</w:t>
      </w:r>
    </w:p>
    <w:tbl>
      <w:tblPr>
        <w:tblW w:w="5000" w:type="pct"/>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6605"/>
        <w:gridCol w:w="2449"/>
      </w:tblGrid>
      <w:tr w:rsidR="00A13CAD" w14:paraId="7B3ADFEF" w14:textId="77777777" w:rsidTr="0050464A">
        <w:trPr>
          <w:tblHeader/>
        </w:trPr>
        <w:tc>
          <w:tcPr>
            <w:tcW w:w="6577" w:type="dxa"/>
            <w:tcBorders>
              <w:top w:val="outset" w:sz="6" w:space="0" w:color="auto"/>
              <w:left w:val="outset" w:sz="6" w:space="0" w:color="auto"/>
              <w:bottom w:val="outset" w:sz="6" w:space="0" w:color="auto"/>
              <w:right w:val="outset" w:sz="6" w:space="0" w:color="auto"/>
            </w:tcBorders>
            <w:hideMark/>
          </w:tcPr>
          <w:p w14:paraId="79A8603D" w14:textId="77777777" w:rsidR="00A13CAD" w:rsidRDefault="00A13CAD" w:rsidP="0050464A">
            <w:pPr>
              <w:pStyle w:val="idwtababs"/>
            </w:pPr>
            <w:r>
              <w:rPr>
                <w:b/>
                <w:bCs w:val="0"/>
              </w:rPr>
              <w:t> </w:t>
            </w:r>
          </w:p>
        </w:tc>
        <w:tc>
          <w:tcPr>
            <w:tcW w:w="2438" w:type="dxa"/>
            <w:tcBorders>
              <w:top w:val="outset" w:sz="6" w:space="0" w:color="auto"/>
              <w:left w:val="outset" w:sz="6" w:space="0" w:color="auto"/>
              <w:bottom w:val="outset" w:sz="6" w:space="0" w:color="auto"/>
              <w:right w:val="outset" w:sz="6" w:space="0" w:color="auto"/>
            </w:tcBorders>
            <w:hideMark/>
          </w:tcPr>
          <w:p w14:paraId="4B80EAE3" w14:textId="77777777" w:rsidR="00A13CAD" w:rsidRDefault="00A13CAD" w:rsidP="0050464A">
            <w:pPr>
              <w:pStyle w:val="idwtababs"/>
              <w:jc w:val="center"/>
            </w:pPr>
            <w:r>
              <w:rPr>
                <w:b/>
                <w:bCs w:val="0"/>
              </w:rPr>
              <w:t>Entgangene Erlöse</w:t>
            </w:r>
          </w:p>
          <w:p w14:paraId="2BBFE181" w14:textId="77777777" w:rsidR="00A13CAD" w:rsidRDefault="00A13CAD" w:rsidP="0050464A">
            <w:pPr>
              <w:pStyle w:val="idwtababs"/>
              <w:jc w:val="center"/>
            </w:pPr>
            <w:r>
              <w:rPr>
                <w:b/>
                <w:bCs w:val="0"/>
              </w:rPr>
              <w:t>[EUR]</w:t>
            </w:r>
          </w:p>
        </w:tc>
      </w:tr>
      <w:tr w:rsidR="00A13CAD" w14:paraId="760A2626" w14:textId="77777777" w:rsidTr="0050464A">
        <w:tc>
          <w:tcPr>
            <w:tcW w:w="6577" w:type="dxa"/>
            <w:tcBorders>
              <w:top w:val="outset" w:sz="6" w:space="0" w:color="auto"/>
              <w:left w:val="outset" w:sz="6" w:space="0" w:color="auto"/>
              <w:bottom w:val="outset" w:sz="6" w:space="0" w:color="auto"/>
              <w:right w:val="outset" w:sz="6" w:space="0" w:color="auto"/>
            </w:tcBorders>
            <w:hideMark/>
          </w:tcPr>
          <w:p w14:paraId="1CADDE5E" w14:textId="77777777" w:rsidR="00A13CAD" w:rsidRDefault="00A13CAD" w:rsidP="0050464A">
            <w:pPr>
              <w:pStyle w:val="idwtababs"/>
            </w:pPr>
            <w:r>
              <w:t>individuelle Netzentgelte für atypische Netznutzung</w:t>
            </w:r>
          </w:p>
        </w:tc>
        <w:tc>
          <w:tcPr>
            <w:tcW w:w="2438" w:type="dxa"/>
            <w:tcBorders>
              <w:top w:val="outset" w:sz="6" w:space="0" w:color="auto"/>
              <w:left w:val="outset" w:sz="6" w:space="0" w:color="auto"/>
              <w:bottom w:val="outset" w:sz="6" w:space="0" w:color="auto"/>
              <w:right w:val="outset" w:sz="6" w:space="0" w:color="auto"/>
            </w:tcBorders>
            <w:hideMark/>
          </w:tcPr>
          <w:p w14:paraId="55389071" w14:textId="77777777" w:rsidR="00A13CAD" w:rsidRDefault="00A13CAD" w:rsidP="0050464A">
            <w:pPr>
              <w:pStyle w:val="idwtababs"/>
            </w:pPr>
            <w:r>
              <w:t> </w:t>
            </w:r>
          </w:p>
        </w:tc>
      </w:tr>
      <w:tr w:rsidR="00A13CAD" w14:paraId="03842BE4" w14:textId="77777777" w:rsidTr="0050464A">
        <w:tc>
          <w:tcPr>
            <w:tcW w:w="6577" w:type="dxa"/>
            <w:tcBorders>
              <w:top w:val="outset" w:sz="6" w:space="0" w:color="auto"/>
              <w:left w:val="outset" w:sz="6" w:space="0" w:color="auto"/>
              <w:bottom w:val="outset" w:sz="6" w:space="0" w:color="auto"/>
              <w:right w:val="outset" w:sz="6" w:space="0" w:color="auto"/>
            </w:tcBorders>
            <w:hideMark/>
          </w:tcPr>
          <w:p w14:paraId="7E667D9B" w14:textId="77777777" w:rsidR="00A13CAD" w:rsidRDefault="00A13CAD" w:rsidP="0050464A">
            <w:pPr>
              <w:pStyle w:val="idwtababs"/>
            </w:pPr>
            <w:r>
              <w:t>individuelle Netzentgelte für stromintensive Letztverbraucher</w:t>
            </w:r>
          </w:p>
        </w:tc>
        <w:tc>
          <w:tcPr>
            <w:tcW w:w="2438" w:type="dxa"/>
            <w:tcBorders>
              <w:top w:val="outset" w:sz="6" w:space="0" w:color="auto"/>
              <w:left w:val="outset" w:sz="6" w:space="0" w:color="auto"/>
              <w:bottom w:val="outset" w:sz="6" w:space="0" w:color="auto"/>
              <w:right w:val="outset" w:sz="6" w:space="0" w:color="auto"/>
            </w:tcBorders>
            <w:hideMark/>
          </w:tcPr>
          <w:p w14:paraId="3CEDA29D" w14:textId="77777777" w:rsidR="00A13CAD" w:rsidRDefault="00A13CAD" w:rsidP="0050464A">
            <w:pPr>
              <w:pStyle w:val="idwtababs"/>
            </w:pPr>
            <w:r>
              <w:t> </w:t>
            </w:r>
          </w:p>
        </w:tc>
      </w:tr>
      <w:tr w:rsidR="00A13CAD" w14:paraId="28C2B96D" w14:textId="77777777" w:rsidTr="0050464A">
        <w:tc>
          <w:tcPr>
            <w:tcW w:w="6577" w:type="dxa"/>
            <w:tcBorders>
              <w:top w:val="outset" w:sz="6" w:space="0" w:color="auto"/>
              <w:left w:val="outset" w:sz="6" w:space="0" w:color="auto"/>
              <w:bottom w:val="outset" w:sz="6" w:space="0" w:color="auto"/>
              <w:right w:val="outset" w:sz="6" w:space="0" w:color="auto"/>
            </w:tcBorders>
            <w:hideMark/>
          </w:tcPr>
          <w:p w14:paraId="00948EEB" w14:textId="77777777" w:rsidR="00A13CAD" w:rsidRDefault="00A13CAD" w:rsidP="0050464A">
            <w:pPr>
              <w:pStyle w:val="idwtababs"/>
            </w:pPr>
            <w:r>
              <w:rPr>
                <w:b/>
                <w:bCs w:val="0"/>
              </w:rPr>
              <w:t>Summe</w:t>
            </w:r>
          </w:p>
        </w:tc>
        <w:tc>
          <w:tcPr>
            <w:tcW w:w="2438" w:type="dxa"/>
            <w:tcBorders>
              <w:top w:val="outset" w:sz="6" w:space="0" w:color="auto"/>
              <w:left w:val="outset" w:sz="6" w:space="0" w:color="auto"/>
              <w:bottom w:val="outset" w:sz="6" w:space="0" w:color="auto"/>
              <w:right w:val="outset" w:sz="6" w:space="0" w:color="auto"/>
            </w:tcBorders>
            <w:hideMark/>
          </w:tcPr>
          <w:p w14:paraId="5E3B6C9D" w14:textId="77777777" w:rsidR="00A13CAD" w:rsidRDefault="00A13CAD" w:rsidP="0050464A">
            <w:pPr>
              <w:pStyle w:val="idwtababs"/>
            </w:pPr>
            <w:r>
              <w:t> </w:t>
            </w:r>
          </w:p>
        </w:tc>
      </w:tr>
    </w:tbl>
    <w:p w14:paraId="5150493D" w14:textId="77777777" w:rsidR="00A13CAD" w:rsidRDefault="00A13CAD" w:rsidP="00A13CAD">
      <w:pPr>
        <w:spacing w:before="100" w:beforeAutospacing="1" w:after="100" w:afterAutospacing="1"/>
        <w:rPr>
          <w:rFonts w:eastAsiaTheme="minorEastAsia"/>
        </w:rPr>
      </w:pPr>
      <w:r>
        <w:t> </w:t>
      </w:r>
    </w:p>
    <w:p w14:paraId="10167D4F" w14:textId="77777777" w:rsidR="00A13CAD" w:rsidRDefault="00A13CAD" w:rsidP="00A13CAD">
      <w:pPr>
        <w:spacing w:before="100" w:beforeAutospacing="1" w:after="100" w:afterAutospacing="1"/>
      </w:pPr>
      <w:r>
        <w:rPr>
          <w:i/>
          <w:iCs/>
        </w:rPr>
        <w:t>Sofern auch noch für davor liegende Kalenderjahre entgangene Erlöse geltend gemacht werden sollen, die bisher nicht in Jahresabrechnungen für Vorjahre enthalten waren, ist eine weitere Tabelle für das betreffende Kalenderjahr aufzunehmen.</w:t>
      </w:r>
      <w:r>
        <w:t>]</w:t>
      </w:r>
    </w:p>
    <w:p w14:paraId="49D1F280" w14:textId="77777777" w:rsidR="00A13CAD" w:rsidRDefault="00A13CAD" w:rsidP="00A13CAD">
      <w:pPr>
        <w:spacing w:before="100" w:beforeAutospacing="1" w:after="100" w:afterAutospacing="1"/>
      </w:pPr>
      <w:r>
        <w:t> </w:t>
      </w:r>
    </w:p>
    <w:p w14:paraId="1650F830" w14:textId="77777777" w:rsidR="00A13CAD" w:rsidRDefault="00A13CAD" w:rsidP="00A13CAD">
      <w:pPr>
        <w:spacing w:before="100" w:beforeAutospacing="1" w:after="100" w:afterAutospacing="1"/>
      </w:pPr>
      <w:r>
        <w:t> </w:t>
      </w:r>
    </w:p>
    <w:tbl>
      <w:tblPr>
        <w:tblW w:w="5000" w:type="pct"/>
        <w:tblCellMar>
          <w:top w:w="150" w:type="dxa"/>
          <w:left w:w="150" w:type="dxa"/>
          <w:bottom w:w="150" w:type="dxa"/>
          <w:right w:w="150" w:type="dxa"/>
        </w:tblCellMar>
        <w:tblLook w:val="04A0" w:firstRow="1" w:lastRow="0" w:firstColumn="1" w:lastColumn="0" w:noHBand="0" w:noVBand="1"/>
      </w:tblPr>
      <w:tblGrid>
        <w:gridCol w:w="2497"/>
        <w:gridCol w:w="6573"/>
      </w:tblGrid>
      <w:tr w:rsidR="00A13CAD" w:rsidRPr="00F42BF2" w14:paraId="560B5F1D" w14:textId="77777777" w:rsidTr="0050464A">
        <w:tc>
          <w:tcPr>
            <w:tcW w:w="0" w:type="auto"/>
            <w:vMerge w:val="restart"/>
            <w:vAlign w:val="center"/>
            <w:hideMark/>
          </w:tcPr>
          <w:p w14:paraId="3B4DFB31" w14:textId="77777777" w:rsidR="00A13CAD" w:rsidRPr="00F42BF2" w:rsidRDefault="00A13CAD" w:rsidP="0050464A">
            <w:pPr>
              <w:pStyle w:val="idwtababs"/>
              <w:rPr>
                <w:sz w:val="22"/>
                <w:szCs w:val="22"/>
              </w:rPr>
            </w:pPr>
            <w:r w:rsidRPr="00F42BF2">
              <w:rPr>
                <w:sz w:val="22"/>
                <w:szCs w:val="22"/>
              </w:rPr>
              <w:t>[</w:t>
            </w:r>
            <w:r w:rsidRPr="00F42BF2">
              <w:rPr>
                <w:i/>
                <w:iCs/>
                <w:sz w:val="22"/>
                <w:szCs w:val="22"/>
              </w:rPr>
              <w:t>Ort, Datum</w:t>
            </w:r>
            <w:r w:rsidRPr="00F42BF2">
              <w:rPr>
                <w:sz w:val="22"/>
                <w:szCs w:val="22"/>
              </w:rPr>
              <w:t>]</w:t>
            </w:r>
          </w:p>
        </w:tc>
        <w:tc>
          <w:tcPr>
            <w:tcW w:w="0" w:type="auto"/>
            <w:tcBorders>
              <w:bottom w:val="single" w:sz="4" w:space="0" w:color="auto"/>
            </w:tcBorders>
            <w:hideMark/>
          </w:tcPr>
          <w:p w14:paraId="39AA51A8" w14:textId="77777777" w:rsidR="00A13CAD" w:rsidRPr="00F42BF2" w:rsidRDefault="00A13CAD" w:rsidP="0050464A">
            <w:pPr>
              <w:rPr>
                <w:szCs w:val="22"/>
              </w:rPr>
            </w:pPr>
          </w:p>
        </w:tc>
      </w:tr>
      <w:tr w:rsidR="00A13CAD" w:rsidRPr="00F42BF2" w14:paraId="5A26EECA" w14:textId="77777777" w:rsidTr="0050464A">
        <w:tc>
          <w:tcPr>
            <w:tcW w:w="0" w:type="auto"/>
            <w:vMerge/>
            <w:vAlign w:val="center"/>
            <w:hideMark/>
          </w:tcPr>
          <w:p w14:paraId="0D4CC783" w14:textId="77777777" w:rsidR="00A13CAD" w:rsidRPr="00F42BF2" w:rsidRDefault="00A13CAD" w:rsidP="0050464A">
            <w:pPr>
              <w:rPr>
                <w:rFonts w:eastAsiaTheme="minorEastAsia"/>
                <w:szCs w:val="22"/>
              </w:rPr>
            </w:pPr>
          </w:p>
        </w:tc>
        <w:tc>
          <w:tcPr>
            <w:tcW w:w="0" w:type="auto"/>
            <w:tcBorders>
              <w:top w:val="single" w:sz="4" w:space="0" w:color="auto"/>
            </w:tcBorders>
            <w:vAlign w:val="bottom"/>
            <w:hideMark/>
          </w:tcPr>
          <w:p w14:paraId="558E9640" w14:textId="77777777" w:rsidR="00A13CAD" w:rsidRPr="00F42BF2" w:rsidRDefault="00A13CAD" w:rsidP="0050464A">
            <w:pPr>
              <w:pStyle w:val="idwtababs"/>
              <w:jc w:val="center"/>
              <w:rPr>
                <w:rFonts w:eastAsiaTheme="minorEastAsia"/>
                <w:sz w:val="22"/>
                <w:szCs w:val="22"/>
              </w:rPr>
            </w:pPr>
            <w:r w:rsidRPr="00F42BF2">
              <w:rPr>
                <w:sz w:val="22"/>
                <w:szCs w:val="22"/>
              </w:rPr>
              <w:t>Unterschrift(en) für den Netzbetreiber</w:t>
            </w:r>
          </w:p>
        </w:tc>
      </w:tr>
    </w:tbl>
    <w:p w14:paraId="4C885FA1" w14:textId="77777777" w:rsidR="00B711C5" w:rsidRPr="001325C4" w:rsidRDefault="00B711C5" w:rsidP="001325C4">
      <w:pPr>
        <w:spacing w:before="100" w:beforeAutospacing="1" w:after="100" w:afterAutospacing="1"/>
      </w:pPr>
    </w:p>
    <w:p w14:paraId="22A3978C" w14:textId="249A3FA5" w:rsidR="00A13CAD" w:rsidRPr="00F42BF2" w:rsidRDefault="00A13CAD" w:rsidP="001325C4">
      <w:pPr>
        <w:keepNext/>
        <w:spacing w:before="100" w:beforeAutospacing="1" w:after="100" w:afterAutospacing="1"/>
        <w:rPr>
          <w:rFonts w:eastAsiaTheme="minorEastAsia"/>
          <w:caps/>
        </w:rPr>
      </w:pPr>
      <w:r w:rsidRPr="00F42BF2">
        <w:rPr>
          <w:b/>
          <w:bCs/>
          <w:caps/>
        </w:rPr>
        <w:t>Anlage zur Jahresabrechnung über entgangene Netzentgelterlöse i.S. des § 19 Abs. 2 Satz 15 StromNEV i.V.m. § 28 Abs. 6 Satz 2 KWKG 2016 der ... [</w:t>
      </w:r>
      <w:r w:rsidRPr="00F42BF2">
        <w:rPr>
          <w:b/>
          <w:bCs/>
          <w:i/>
          <w:iCs/>
          <w:caps/>
        </w:rPr>
        <w:t>Netzbetreiber</w:t>
      </w:r>
      <w:r w:rsidRPr="00F42BF2">
        <w:rPr>
          <w:b/>
          <w:bCs/>
          <w:caps/>
        </w:rPr>
        <w:t xml:space="preserve">] für das Kalenderjahr 2025 mit deren </w:t>
      </w:r>
      <w:proofErr w:type="spellStart"/>
      <w:r w:rsidRPr="00F42BF2">
        <w:rPr>
          <w:b/>
          <w:bCs/>
          <w:caps/>
        </w:rPr>
        <w:t>Maßgebenden</w:t>
      </w:r>
      <w:proofErr w:type="spellEnd"/>
      <w:r w:rsidRPr="00F42BF2">
        <w:rPr>
          <w:b/>
          <w:bCs/>
          <w:caps/>
        </w:rPr>
        <w:t xml:space="preserve"> Aufstellungsgrundsätzen</w:t>
      </w:r>
    </w:p>
    <w:p w14:paraId="78F9995E" w14:textId="77777777" w:rsidR="00A13CAD" w:rsidRDefault="00A13CAD" w:rsidP="00A13CAD">
      <w:pPr>
        <w:spacing w:before="100" w:beforeAutospacing="1" w:after="100" w:afterAutospacing="1"/>
      </w:pPr>
      <w:r>
        <w:t>Der Jahresabrechnung über entgangene Netzentgelterlöse legen wir neben den Vorschriften der StromNEV, des KWKG 2016 und des EnWG die folgenden Grundsätze zugrunde:</w:t>
      </w:r>
    </w:p>
    <w:p w14:paraId="1A7D9E3E" w14:textId="77777777" w:rsidR="00A13CAD" w:rsidRDefault="00A13CAD" w:rsidP="00A13CAD">
      <w:pPr>
        <w:spacing w:before="100" w:beforeAutospacing="1" w:after="100" w:afterAutospacing="1"/>
      </w:pPr>
      <w:r>
        <w:t xml:space="preserve">Nach § 118 Abs. 7 EnWG sind Vorgaben in Bezug auf die Regulierung von Energieversorgungsnetzen i.S. des § 3 Nr. 37 EnWG auf Energieanlagen nach § 3 Nr. 65 und 66 EnWG, die bis zum 23.12.2025 an ein Energieversorgungsnetz angeschlossen wurden, erst ab dem 01.01.2029 anzuwenden. Nach der Begründung zur Beschlussempfehlung und zum Bericht </w:t>
      </w:r>
      <w:r>
        <w:lastRenderedPageBreak/>
        <w:t>des Ausschusses für Wirtschaft und Energie vom 12.11.2025 (vgl. BT-</w:t>
      </w:r>
      <w:proofErr w:type="spellStart"/>
      <w:r>
        <w:t>Drs</w:t>
      </w:r>
      <w:proofErr w:type="spellEnd"/>
      <w:r>
        <w:t>. 21/2793, S. 188) gewährleistet die vorgenannte Übergangsregelung, dass die auf den Begriff des Netzbetreibers abstellenden Regelungen (z.B. in der Stromnetzentgeltverordnung) ebenfalls bis zum Ablauf der Übergangsfrist auf Kundenanlagen keine Anwendung finden. Vor diesem Hintergrund haben wir mögliche betroffene Energieanlagen in der vorliegenden Jahresabrechnung über entgangene Netzentgelterlöse entsprechend der bisherigen Praxis behandelt.</w:t>
      </w:r>
    </w:p>
    <w:p w14:paraId="602C63FF" w14:textId="77777777" w:rsidR="00A13CAD" w:rsidRDefault="00A13CAD" w:rsidP="00A13CAD">
      <w:pPr>
        <w:spacing w:before="100" w:beforeAutospacing="1" w:after="100" w:afterAutospacing="1"/>
      </w:pPr>
      <w:r>
        <w:t>… [</w:t>
      </w:r>
      <w:r>
        <w:rPr>
          <w:i/>
          <w:iCs/>
        </w:rPr>
        <w:t>ggf. weitere Ausführungen</w:t>
      </w:r>
      <w:r>
        <w:t>]</w:t>
      </w:r>
    </w:p>
    <w:p w14:paraId="220525AD" w14:textId="77777777" w:rsidR="00A13CAD" w:rsidRPr="005E652B" w:rsidRDefault="00A13CAD" w:rsidP="00A13CAD"/>
    <w:sectPr w:rsidR="00A13CAD" w:rsidRPr="005E652B" w:rsidSect="008D57AC">
      <w:headerReference w:type="default" r:id="rId13"/>
      <w:footerReference w:type="even" r:id="rId14"/>
      <w:footerReference w:type="default" r:id="rId15"/>
      <w:footerReference w:type="first" r:id="rId16"/>
      <w:pgSz w:w="11906" w:h="16838" w:code="9"/>
      <w:pgMar w:top="1701" w:right="1418" w:bottom="1134" w:left="1418" w:header="709" w:footer="709" w:gutter="0"/>
      <w:cols w:space="720"/>
    </w:sectPr>
  </w:body>
</w:document>
</file>

<file path=word/customizations.xml><?xml version="1.0" encoding="utf-8"?>
<wne:tcg xmlns:r="http://schemas.openxmlformats.org/officeDocument/2006/relationships" xmlns:wne="http://schemas.microsoft.com/office/word/2006/wordml">
  <wne:keymaps>
    <wne:keymap wne:kcmPrimary="0248" wne:kcmSecondary="0054">
      <wne:macro wne:macroName="PROJECT.MODUL1.IMPOR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D01A3" w14:textId="77777777" w:rsidR="0066791B" w:rsidRDefault="0066791B">
      <w:r>
        <w:separator/>
      </w:r>
    </w:p>
  </w:endnote>
  <w:endnote w:type="continuationSeparator" w:id="0">
    <w:p w14:paraId="12AD0780" w14:textId="77777777" w:rsidR="0066791B" w:rsidRDefault="0066791B">
      <w:r>
        <w:continuationSeparator/>
      </w:r>
    </w:p>
  </w:endnote>
  <w:endnote w:type="continuationNotice" w:id="1">
    <w:p w14:paraId="5132B000" w14:textId="77777777" w:rsidR="0066791B" w:rsidRDefault="006679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DCAC" w14:textId="77777777" w:rsidR="00CE2890" w:rsidRDefault="00CE289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144</w:t>
    </w:r>
    <w:r>
      <w:rPr>
        <w:rStyle w:val="Seitenzahl"/>
      </w:rPr>
      <w:fldChar w:fldCharType="end"/>
    </w:r>
  </w:p>
  <w:p w14:paraId="20317DDD" w14:textId="77777777" w:rsidR="00CE2890" w:rsidRDefault="00CE2890">
    <w:pPr>
      <w:pStyle w:val="Fuzeile"/>
      <w:ind w:right="360"/>
    </w:pPr>
  </w:p>
  <w:p w14:paraId="25B656C9" w14:textId="77777777" w:rsidR="00CE2890" w:rsidRDefault="00CE28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2ED2" w14:textId="64D48BE4" w:rsidR="00853633" w:rsidRDefault="00B93888" w:rsidP="00B93888">
    <w:pPr>
      <w:pStyle w:val="Fuzeile"/>
      <w:tabs>
        <w:tab w:val="clear" w:pos="4536"/>
      </w:tabs>
      <w:spacing w:after="0" w:line="240" w:lineRule="atLeast"/>
      <w:jc w:val="center"/>
    </w:pPr>
    <w:r w:rsidRPr="00B93888">
      <w:t xml:space="preserve">Lizenziert für die Informationsplattform der deutschen Übertragungsnetzbetreiber: </w:t>
    </w:r>
    <w:hyperlink r:id="rId1" w:history="1">
      <w:r w:rsidRPr="00B93888">
        <w:rPr>
          <w:rStyle w:val="Hyperlink"/>
        </w:rPr>
        <w:t>www.netztransparenz.de</w:t>
      </w:r>
    </w:hyperlink>
  </w:p>
  <w:p w14:paraId="54DAE53E" w14:textId="39019D24" w:rsidR="00CE2890" w:rsidRDefault="00CE2890" w:rsidP="00853633">
    <w:pPr>
      <w:pStyle w:val="Fuzeile"/>
      <w:tabs>
        <w:tab w:val="clear" w:pos="4536"/>
      </w:tabs>
      <w:spacing w:after="0" w:line="360" w:lineRule="auto"/>
      <w:jc w:val="center"/>
    </w:pPr>
    <w:r w:rsidRPr="006D1A17">
      <w:t>© IDW Verlag GmbH</w:t>
    </w:r>
    <w:r w:rsidR="00287316">
      <w:tab/>
    </w:r>
    <w:r w:rsidR="00853633">
      <w:fldChar w:fldCharType="begin"/>
    </w:r>
    <w:r w:rsidR="00853633">
      <w:instrText xml:space="preserve"> PAGE  \* MERGEFORMAT </w:instrText>
    </w:r>
    <w:r w:rsidR="00853633">
      <w:fldChar w:fldCharType="separate"/>
    </w:r>
    <w:r w:rsidR="00853633">
      <w:t>1</w:t>
    </w:r>
    <w:r w:rsidR="0085363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CDA4" w14:textId="77777777" w:rsidR="00CE2890" w:rsidRDefault="00CE2890">
    <w:pPr>
      <w:pStyle w:val="Fuzeile"/>
      <w:spacing w:before="240" w:after="240"/>
      <w:jc w:val="center"/>
      <w:rPr>
        <w:rStyle w:val="Seitenzah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8BB8" w14:textId="77777777" w:rsidR="0066791B" w:rsidRDefault="0066791B">
      <w:r>
        <w:separator/>
      </w:r>
    </w:p>
  </w:footnote>
  <w:footnote w:type="continuationSeparator" w:id="0">
    <w:p w14:paraId="64B8376F" w14:textId="77777777" w:rsidR="0066791B" w:rsidRDefault="0066791B" w:rsidP="00282B72">
      <w:r>
        <w:separator/>
      </w:r>
    </w:p>
  </w:footnote>
  <w:footnote w:type="continuationNotice" w:id="1">
    <w:p w14:paraId="78DE9955" w14:textId="77777777" w:rsidR="0066791B" w:rsidRDefault="0066791B">
      <w:pPr>
        <w:spacing w:after="0" w:line="240" w:lineRule="auto"/>
      </w:pPr>
    </w:p>
  </w:footnote>
  <w:footnote w:id="2">
    <w:p w14:paraId="00CDF2B4" w14:textId="77777777" w:rsidR="00A13CAD" w:rsidRDefault="00A13CAD" w:rsidP="00A13CAD">
      <w:pPr>
        <w:pStyle w:val="Funotentext"/>
      </w:pPr>
      <w:r>
        <w:rPr>
          <w:rStyle w:val="Funotenzeichen"/>
        </w:rPr>
        <w:footnoteRef/>
      </w:r>
      <w:r>
        <w:tab/>
        <w:t>Sofern der Netzbetreiber nicht im gesamten Zeitraum zuständig war (z.B. Betreiberwechsel), ist zusätzlich der Zeitraum anzugeben, für welchen der Netzbetreiber die Abrechnung abgibt.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C7E0" w14:textId="502F5973" w:rsidR="00CE2890" w:rsidRPr="00C54EFC" w:rsidRDefault="00E86D9E" w:rsidP="009E2764">
    <w:pPr>
      <w:pStyle w:val="Kopfzeile"/>
      <w:rPr>
        <w:i w:val="0"/>
        <w:iCs/>
      </w:rPr>
    </w:pPr>
    <w:r>
      <w:rPr>
        <w:noProof/>
      </w:rPr>
      <w:drawing>
        <wp:anchor distT="0" distB="0" distL="114300" distR="114300" simplePos="0" relativeHeight="251658240" behindDoc="1" locked="0" layoutInCell="1" allowOverlap="1" wp14:anchorId="11214CBB" wp14:editId="392B1D1F">
          <wp:simplePos x="0" y="0"/>
          <wp:positionH relativeFrom="column">
            <wp:posOffset>5090795</wp:posOffset>
          </wp:positionH>
          <wp:positionV relativeFrom="paragraph">
            <wp:posOffset>-345440</wp:posOffset>
          </wp:positionV>
          <wp:extent cx="1278000" cy="356400"/>
          <wp:effectExtent l="0" t="0" r="0" b="5715"/>
          <wp:wrapTight wrapText="bothSides">
            <wp:wrapPolygon edited="0">
              <wp:start x="0" y="0"/>
              <wp:lineTo x="0" y="20791"/>
              <wp:lineTo x="21256" y="20791"/>
              <wp:lineTo x="21256" y="0"/>
              <wp:lineTo x="0" y="0"/>
            </wp:wrapPolygon>
          </wp:wrapTight>
          <wp:docPr id="9" name="Grafik 9"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Schrift, Logo, 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000" cy="356400"/>
                  </a:xfrm>
                  <a:prstGeom prst="rect">
                    <a:avLst/>
                  </a:prstGeom>
                </pic:spPr>
              </pic:pic>
            </a:graphicData>
          </a:graphic>
          <wp14:sizeRelH relativeFrom="page">
            <wp14:pctWidth>0</wp14:pctWidth>
          </wp14:sizeRelH>
          <wp14:sizeRelV relativeFrom="page">
            <wp14:pctHeight>0</wp14:pctHeight>
          </wp14:sizeRelV>
        </wp:anchor>
      </w:drawing>
    </w:r>
    <w:r w:rsidR="00287316">
      <w:rPr>
        <w:i w:val="0"/>
        <w:iCs/>
      </w:rPr>
      <w:t>Auszug</w:t>
    </w:r>
    <w:r w:rsidR="0037538D" w:rsidRPr="0037538D">
      <w:rPr>
        <w:i w:val="0"/>
        <w:iCs/>
      </w:rPr>
      <w:t xml:space="preserve"> aus </w:t>
    </w:r>
    <w:r w:rsidR="009E2764" w:rsidRPr="00287316">
      <w:t>IDW PH 9.970.30 (0</w:t>
    </w:r>
    <w:r w:rsidR="00EA1D47" w:rsidRPr="00287316">
      <w:t>2</w:t>
    </w:r>
    <w:r w:rsidR="009E2764" w:rsidRPr="00287316">
      <w:t>.202</w:t>
    </w:r>
    <w:r w:rsidR="00F175E0" w:rsidRPr="00287316">
      <w:t>6</w:t>
    </w:r>
    <w:r w:rsidR="009E2764" w:rsidRPr="00287316">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FEA9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7A4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E424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1ABC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BABD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C65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A07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4AB9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9E15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E640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71B95"/>
    <w:multiLevelType w:val="singleLevel"/>
    <w:tmpl w:val="36326EEE"/>
    <w:lvl w:ilvl="0">
      <w:start w:val="1"/>
      <w:numFmt w:val="decimal"/>
      <w:lvlText w:val="%1"/>
      <w:lvlJc w:val="left"/>
      <w:pPr>
        <w:tabs>
          <w:tab w:val="num" w:pos="360"/>
        </w:tabs>
        <w:ind w:left="360" w:hanging="360"/>
      </w:pPr>
      <w:rPr>
        <w:rFonts w:hint="default"/>
      </w:rPr>
    </w:lvl>
  </w:abstractNum>
  <w:abstractNum w:abstractNumId="11" w15:restartNumberingAfterBreak="0">
    <w:nsid w:val="0D727673"/>
    <w:multiLevelType w:val="multilevel"/>
    <w:tmpl w:val="AFB405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793975"/>
    <w:multiLevelType w:val="singleLevel"/>
    <w:tmpl w:val="AE30E090"/>
    <w:lvl w:ilvl="0">
      <w:start w:val="1"/>
      <w:numFmt w:val="bullet"/>
      <w:lvlText w:val=""/>
      <w:lvlJc w:val="left"/>
      <w:pPr>
        <w:tabs>
          <w:tab w:val="num" w:pos="1353"/>
        </w:tabs>
        <w:ind w:left="1333" w:hanging="340"/>
      </w:pPr>
      <w:rPr>
        <w:rFonts w:ascii="Symbol" w:hAnsi="Symbol" w:hint="default"/>
      </w:rPr>
    </w:lvl>
  </w:abstractNum>
  <w:abstractNum w:abstractNumId="13" w15:restartNumberingAfterBreak="0">
    <w:nsid w:val="1CEB113F"/>
    <w:multiLevelType w:val="hybridMultilevel"/>
    <w:tmpl w:val="86B2F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6F4FD0"/>
    <w:multiLevelType w:val="multilevel"/>
    <w:tmpl w:val="B0C05AF0"/>
    <w:name w:val="idw_listcharbig_new"/>
    <w:lvl w:ilvl="0">
      <w:start w:val="1"/>
      <w:numFmt w:val="upperLetter"/>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6287E5C"/>
    <w:multiLevelType w:val="singleLevel"/>
    <w:tmpl w:val="35E01B88"/>
    <w:lvl w:ilvl="0">
      <w:start w:val="1"/>
      <w:numFmt w:val="bullet"/>
      <w:lvlText w:val=""/>
      <w:lvlJc w:val="left"/>
      <w:pPr>
        <w:tabs>
          <w:tab w:val="num" w:pos="1211"/>
        </w:tabs>
        <w:ind w:left="1134" w:hanging="283"/>
      </w:pPr>
      <w:rPr>
        <w:rFonts w:ascii="Symbol" w:hAnsi="Symbol"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7D54199"/>
    <w:multiLevelType w:val="multilevel"/>
    <w:tmpl w:val="3E548C96"/>
    <w:name w:val="idw_listdot_new"/>
    <w:lvl w:ilvl="0">
      <w:start w:val="1"/>
      <w:numFmt w:val="none"/>
      <w:lvlText w:val="●"/>
      <w:lvlJc w:val="left"/>
      <w:pPr>
        <w:tabs>
          <w:tab w:val="num" w:pos="567"/>
        </w:tabs>
        <w:ind w:left="567" w:hanging="567"/>
      </w:pPr>
      <w:rPr>
        <w:rFonts w:hint="default"/>
      </w:rPr>
    </w:lvl>
    <w:lvl w:ilvl="1">
      <w:start w:val="1"/>
      <w:numFmt w:val="none"/>
      <w:lvlText w:val="-"/>
      <w:lvlJc w:val="left"/>
      <w:pPr>
        <w:tabs>
          <w:tab w:val="num" w:pos="1134"/>
        </w:tabs>
        <w:ind w:left="1134" w:hanging="567"/>
      </w:pPr>
      <w:rPr>
        <w:rFonts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B924AA1"/>
    <w:multiLevelType w:val="singleLevel"/>
    <w:tmpl w:val="590C7792"/>
    <w:lvl w:ilvl="0">
      <w:start w:val="1"/>
      <w:numFmt w:val="bullet"/>
      <w:lvlText w:val="–"/>
      <w:lvlJc w:val="left"/>
      <w:pPr>
        <w:tabs>
          <w:tab w:val="num" w:pos="1276"/>
        </w:tabs>
        <w:ind w:left="1276" w:hanging="425"/>
      </w:pPr>
      <w:rPr>
        <w:rFonts w:ascii="Times New Roman" w:hAnsi="Times New Roman" w:hint="default"/>
        <w:sz w:val="24"/>
      </w:rPr>
    </w:lvl>
  </w:abstractNum>
  <w:abstractNum w:abstractNumId="18" w15:restartNumberingAfterBreak="0">
    <w:nsid w:val="3EA17659"/>
    <w:multiLevelType w:val="hybridMultilevel"/>
    <w:tmpl w:val="D48EEC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018218D"/>
    <w:multiLevelType w:val="multilevel"/>
    <w:tmpl w:val="F6084E3E"/>
    <w:lvl w:ilvl="0">
      <w:start w:val="1"/>
      <w:numFmt w:val="ordinal"/>
      <w:lvlText w:val="%1"/>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993"/>
        </w:tabs>
        <w:ind w:left="993"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1.1%2.%3.%4.%5"/>
      <w:lvlJc w:val="left"/>
      <w:pPr>
        <w:tabs>
          <w:tab w:val="num" w:pos="1080"/>
        </w:tabs>
        <w:ind w:left="1008" w:hanging="1008"/>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01C06E2"/>
    <w:multiLevelType w:val="multilevel"/>
    <w:tmpl w:val="D6840C64"/>
    <w:lvl w:ilvl="0">
      <w:start w:val="1"/>
      <w:numFmt w:val="ordinal"/>
      <w:lvlText w:val="%1"/>
      <w:lvlJc w:val="left"/>
      <w:pPr>
        <w:tabs>
          <w:tab w:val="num" w:pos="851"/>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851"/>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851"/>
        </w:tabs>
        <w:ind w:left="1134" w:hanging="1134"/>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57756A8F"/>
    <w:multiLevelType w:val="multilevel"/>
    <w:tmpl w:val="7A824BEE"/>
    <w:name w:val="idw_listarabic_new"/>
    <w:lvl w:ilvl="0">
      <w:start w:val="1"/>
      <w:numFmt w:val="decimal"/>
      <w:lvlText w:val="%1."/>
      <w:lvlJc w:val="left"/>
      <w:pPr>
        <w:tabs>
          <w:tab w:val="num" w:pos="567"/>
        </w:tabs>
        <w:ind w:left="567" w:hanging="567"/>
      </w:pPr>
    </w:lvl>
    <w:lvl w:ilvl="1">
      <w:start w:val="1"/>
      <w:numFmt w:val="decimal"/>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8DB58EC"/>
    <w:multiLevelType w:val="multilevel"/>
    <w:tmpl w:val="D0864E72"/>
    <w:lvl w:ilvl="0">
      <w:start w:val="1"/>
      <w:numFmt w:val="ordinal"/>
      <w:lvlText w:val="%1"/>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ordinal"/>
      <w:lvlText w:val="%1%4%2%3%5"/>
      <w:lvlJc w:val="left"/>
      <w:pPr>
        <w:tabs>
          <w:tab w:val="num" w:pos="144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ordinal"/>
      <w:lvlText w:val="%1%2%4%3%5%6"/>
      <w:lvlJc w:val="left"/>
      <w:pPr>
        <w:tabs>
          <w:tab w:val="num" w:pos="1701"/>
        </w:tabs>
        <w:ind w:left="1701" w:hanging="1701"/>
      </w:pPr>
      <w:rPr>
        <w:rFonts w:ascii="Arial" w:hAnsi="Arial" w:hint="default"/>
        <w:b/>
        <w:i w:val="0"/>
      </w:rPr>
    </w:lvl>
    <w:lvl w:ilvl="6">
      <w:start w:val="1"/>
      <w:numFmt w:val="ordinal"/>
      <w:lvlText w:val="%1%2%3%4%5%6%7"/>
      <w:lvlJc w:val="left"/>
      <w:pPr>
        <w:tabs>
          <w:tab w:val="num" w:pos="1701"/>
        </w:tabs>
        <w:ind w:left="1701" w:hanging="1701"/>
      </w:pPr>
      <w:rPr>
        <w:rFonts w:ascii="Arial" w:hAnsi="Arial" w:hint="default"/>
        <w:b/>
        <w:i w:val="0"/>
      </w:rPr>
    </w:lvl>
    <w:lvl w:ilvl="7">
      <w:start w:val="1"/>
      <w:numFmt w:val="ordinal"/>
      <w:lvlText w:val="%1%2%3%4%5%6%7%8"/>
      <w:lvlJc w:val="left"/>
      <w:pPr>
        <w:tabs>
          <w:tab w:val="num" w:pos="1701"/>
        </w:tabs>
        <w:ind w:left="1701" w:hanging="1701"/>
      </w:pPr>
      <w:rPr>
        <w:rFonts w:ascii="Arial" w:hAnsi="Arial" w:hint="default"/>
        <w:b/>
        <w:i w:val="0"/>
      </w:rPr>
    </w:lvl>
    <w:lvl w:ilvl="8">
      <w:start w:val="1"/>
      <w:numFmt w:val="ordinal"/>
      <w:lvlText w:val="%1%2%3%4%5%6%7%8%9"/>
      <w:lvlJc w:val="left"/>
      <w:pPr>
        <w:tabs>
          <w:tab w:val="num" w:pos="1800"/>
        </w:tabs>
        <w:ind w:left="1701" w:hanging="1701"/>
      </w:pPr>
      <w:rPr>
        <w:rFonts w:ascii="Arial" w:hAnsi="Arial" w:hint="default"/>
        <w:b/>
        <w:i w:val="0"/>
      </w:rPr>
    </w:lvl>
  </w:abstractNum>
  <w:abstractNum w:abstractNumId="23" w15:restartNumberingAfterBreak="0">
    <w:nsid w:val="71EB1821"/>
    <w:multiLevelType w:val="hybridMultilevel"/>
    <w:tmpl w:val="9B2676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79E4639"/>
    <w:multiLevelType w:val="multilevel"/>
    <w:tmpl w:val="D546721E"/>
    <w:lvl w:ilvl="0">
      <w:start w:val="1"/>
      <w:numFmt w:val="ordinal"/>
      <w:lvlText w:val="%1"/>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1.1%2.%3.%4.%5"/>
      <w:lvlJc w:val="left"/>
      <w:pPr>
        <w:tabs>
          <w:tab w:val="num" w:pos="1080"/>
        </w:tabs>
        <w:ind w:left="1008" w:hanging="1008"/>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F827CF2"/>
    <w:multiLevelType w:val="multilevel"/>
    <w:tmpl w:val="56A8C574"/>
    <w:name w:val="idw_listempty_new"/>
    <w:lvl w:ilvl="0">
      <w:start w:val="1"/>
      <w:numFmt w:val="none"/>
      <w:pStyle w:val="idwlistempty1"/>
      <w:lvlText w:val=""/>
      <w:lvlJc w:val="left"/>
      <w:pPr>
        <w:tabs>
          <w:tab w:val="num" w:pos="567"/>
        </w:tabs>
        <w:ind w:left="567" w:hanging="567"/>
      </w:pPr>
      <w:rPr>
        <w:rFonts w:hint="default"/>
      </w:rPr>
    </w:lvl>
    <w:lvl w:ilvl="1">
      <w:start w:val="1"/>
      <w:numFmt w:val="none"/>
      <w:pStyle w:val="idwlistempty2"/>
      <w:lvlText w:val=""/>
      <w:lvlJc w:val="left"/>
      <w:pPr>
        <w:tabs>
          <w:tab w:val="num" w:pos="1134"/>
        </w:tabs>
        <w:ind w:left="1134" w:hanging="567"/>
      </w:pPr>
      <w:rPr>
        <w:rFonts w:hint="default"/>
      </w:rPr>
    </w:lvl>
    <w:lvl w:ilvl="2">
      <w:start w:val="1"/>
      <w:numFmt w:val="none"/>
      <w:pStyle w:val="idwlistempty3"/>
      <w:lvlText w:val=""/>
      <w:lvlJc w:val="left"/>
      <w:pPr>
        <w:tabs>
          <w:tab w:val="num" w:pos="1701"/>
        </w:tabs>
        <w:ind w:left="1701" w:hanging="567"/>
      </w:pPr>
      <w:rPr>
        <w:rFonts w:hint="default"/>
      </w:rPr>
    </w:lvl>
    <w:lvl w:ilvl="3">
      <w:start w:val="1"/>
      <w:numFmt w:val="none"/>
      <w:pStyle w:val="idwlistempty4"/>
      <w:lvlText w:val=""/>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52360273">
    <w:abstractNumId w:val="15"/>
  </w:num>
  <w:num w:numId="2" w16cid:durableId="1218711141">
    <w:abstractNumId w:val="12"/>
  </w:num>
  <w:num w:numId="3" w16cid:durableId="566457289">
    <w:abstractNumId w:val="17"/>
  </w:num>
  <w:num w:numId="4" w16cid:durableId="1073891884">
    <w:abstractNumId w:val="22"/>
  </w:num>
  <w:num w:numId="5" w16cid:durableId="2899190">
    <w:abstractNumId w:val="10"/>
  </w:num>
  <w:num w:numId="6" w16cid:durableId="1301961563">
    <w:abstractNumId w:val="19"/>
  </w:num>
  <w:num w:numId="7" w16cid:durableId="1069109215">
    <w:abstractNumId w:val="24"/>
  </w:num>
  <w:num w:numId="8" w16cid:durableId="1458838418">
    <w:abstractNumId w:val="4"/>
  </w:num>
  <w:num w:numId="9" w16cid:durableId="1469930246">
    <w:abstractNumId w:val="5"/>
  </w:num>
  <w:num w:numId="10" w16cid:durableId="191845650">
    <w:abstractNumId w:val="6"/>
  </w:num>
  <w:num w:numId="11" w16cid:durableId="1794783285">
    <w:abstractNumId w:val="7"/>
  </w:num>
  <w:num w:numId="12" w16cid:durableId="1009140018">
    <w:abstractNumId w:val="9"/>
  </w:num>
  <w:num w:numId="13" w16cid:durableId="1013799334">
    <w:abstractNumId w:val="8"/>
  </w:num>
  <w:num w:numId="14" w16cid:durableId="1709909618">
    <w:abstractNumId w:val="3"/>
  </w:num>
  <w:num w:numId="15" w16cid:durableId="1654719609">
    <w:abstractNumId w:val="2"/>
  </w:num>
  <w:num w:numId="16" w16cid:durableId="1334064828">
    <w:abstractNumId w:val="1"/>
  </w:num>
  <w:num w:numId="17" w16cid:durableId="1144858095">
    <w:abstractNumId w:val="0"/>
  </w:num>
  <w:num w:numId="18" w16cid:durableId="164591845">
    <w:abstractNumId w:val="16"/>
  </w:num>
  <w:num w:numId="19" w16cid:durableId="1520581329">
    <w:abstractNumId w:val="14"/>
  </w:num>
  <w:num w:numId="20" w16cid:durableId="812526649">
    <w:abstractNumId w:val="21"/>
  </w:num>
  <w:num w:numId="21" w16cid:durableId="144325577">
    <w:abstractNumId w:val="25"/>
  </w:num>
  <w:num w:numId="22" w16cid:durableId="193079485">
    <w:abstractNumId w:val="20"/>
  </w:num>
  <w:num w:numId="23" w16cid:durableId="797184248">
    <w:abstractNumId w:val="11"/>
  </w:num>
  <w:num w:numId="24" w16cid:durableId="2107847161">
    <w:abstractNumId w:val="18"/>
  </w:num>
  <w:num w:numId="25" w16cid:durableId="333725096">
    <w:abstractNumId w:val="13"/>
  </w:num>
  <w:num w:numId="26" w16cid:durableId="903486698">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enforcement="1"/>
  <w:defaultTabStop w:val="425"/>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ED"/>
    <w:rsid w:val="00024A7E"/>
    <w:rsid w:val="00026B2A"/>
    <w:rsid w:val="000312EA"/>
    <w:rsid w:val="000406D3"/>
    <w:rsid w:val="00052AED"/>
    <w:rsid w:val="000647DA"/>
    <w:rsid w:val="000700E2"/>
    <w:rsid w:val="00083733"/>
    <w:rsid w:val="00083EC0"/>
    <w:rsid w:val="00086348"/>
    <w:rsid w:val="000A26B2"/>
    <w:rsid w:val="000C0535"/>
    <w:rsid w:val="000C60D4"/>
    <w:rsid w:val="000D2681"/>
    <w:rsid w:val="000D58FC"/>
    <w:rsid w:val="000E3B54"/>
    <w:rsid w:val="000E7743"/>
    <w:rsid w:val="000F3B0E"/>
    <w:rsid w:val="001325C4"/>
    <w:rsid w:val="001347C8"/>
    <w:rsid w:val="00145401"/>
    <w:rsid w:val="0015197C"/>
    <w:rsid w:val="001625C4"/>
    <w:rsid w:val="001729ED"/>
    <w:rsid w:val="00173861"/>
    <w:rsid w:val="00174478"/>
    <w:rsid w:val="00186FCF"/>
    <w:rsid w:val="001B0D4B"/>
    <w:rsid w:val="001B51A6"/>
    <w:rsid w:val="001C2854"/>
    <w:rsid w:val="001E052B"/>
    <w:rsid w:val="001E0CC3"/>
    <w:rsid w:val="002017BC"/>
    <w:rsid w:val="0020403C"/>
    <w:rsid w:val="00211E7E"/>
    <w:rsid w:val="00216502"/>
    <w:rsid w:val="00216AC4"/>
    <w:rsid w:val="0022212B"/>
    <w:rsid w:val="00232143"/>
    <w:rsid w:val="0024791F"/>
    <w:rsid w:val="00261611"/>
    <w:rsid w:val="00273AFC"/>
    <w:rsid w:val="00282B72"/>
    <w:rsid w:val="002858DA"/>
    <w:rsid w:val="002862E7"/>
    <w:rsid w:val="00287316"/>
    <w:rsid w:val="002942C0"/>
    <w:rsid w:val="002A3D6C"/>
    <w:rsid w:val="002B5B02"/>
    <w:rsid w:val="002D5EFD"/>
    <w:rsid w:val="002D7733"/>
    <w:rsid w:val="002F553C"/>
    <w:rsid w:val="003277FD"/>
    <w:rsid w:val="00341510"/>
    <w:rsid w:val="00364C42"/>
    <w:rsid w:val="00367805"/>
    <w:rsid w:val="00372075"/>
    <w:rsid w:val="0037538D"/>
    <w:rsid w:val="003825FF"/>
    <w:rsid w:val="00385024"/>
    <w:rsid w:val="00385561"/>
    <w:rsid w:val="003A313F"/>
    <w:rsid w:val="003B2994"/>
    <w:rsid w:val="003B5514"/>
    <w:rsid w:val="003C1614"/>
    <w:rsid w:val="003D149E"/>
    <w:rsid w:val="003D54B6"/>
    <w:rsid w:val="003D647B"/>
    <w:rsid w:val="003E0BD5"/>
    <w:rsid w:val="003E5E48"/>
    <w:rsid w:val="00412627"/>
    <w:rsid w:val="004401EC"/>
    <w:rsid w:val="00443D8C"/>
    <w:rsid w:val="0047065D"/>
    <w:rsid w:val="00471B9D"/>
    <w:rsid w:val="00472BF9"/>
    <w:rsid w:val="0047735F"/>
    <w:rsid w:val="00485375"/>
    <w:rsid w:val="00487EE4"/>
    <w:rsid w:val="004B5870"/>
    <w:rsid w:val="004C4F59"/>
    <w:rsid w:val="004D5574"/>
    <w:rsid w:val="004E17D8"/>
    <w:rsid w:val="004E3AED"/>
    <w:rsid w:val="004E4B7C"/>
    <w:rsid w:val="004F4E32"/>
    <w:rsid w:val="00517BAF"/>
    <w:rsid w:val="00554CDD"/>
    <w:rsid w:val="0055720B"/>
    <w:rsid w:val="00581090"/>
    <w:rsid w:val="00590267"/>
    <w:rsid w:val="005A4026"/>
    <w:rsid w:val="005A5EF2"/>
    <w:rsid w:val="005B2991"/>
    <w:rsid w:val="005B61CE"/>
    <w:rsid w:val="005C5BD1"/>
    <w:rsid w:val="005D5C9A"/>
    <w:rsid w:val="005E6E37"/>
    <w:rsid w:val="005F4506"/>
    <w:rsid w:val="0060231E"/>
    <w:rsid w:val="00607AAB"/>
    <w:rsid w:val="00611CD3"/>
    <w:rsid w:val="00620007"/>
    <w:rsid w:val="006276C1"/>
    <w:rsid w:val="00636130"/>
    <w:rsid w:val="00661753"/>
    <w:rsid w:val="0066791B"/>
    <w:rsid w:val="00680B03"/>
    <w:rsid w:val="00683D38"/>
    <w:rsid w:val="0069033D"/>
    <w:rsid w:val="006E04BE"/>
    <w:rsid w:val="006F796D"/>
    <w:rsid w:val="00700F11"/>
    <w:rsid w:val="0070554B"/>
    <w:rsid w:val="00707D94"/>
    <w:rsid w:val="00710167"/>
    <w:rsid w:val="00716FD1"/>
    <w:rsid w:val="00724C08"/>
    <w:rsid w:val="00742772"/>
    <w:rsid w:val="00752EB0"/>
    <w:rsid w:val="007535C3"/>
    <w:rsid w:val="00753DE5"/>
    <w:rsid w:val="007666A1"/>
    <w:rsid w:val="00796358"/>
    <w:rsid w:val="007A74B4"/>
    <w:rsid w:val="007B006D"/>
    <w:rsid w:val="007C6C2B"/>
    <w:rsid w:val="007E2B7A"/>
    <w:rsid w:val="00800F2E"/>
    <w:rsid w:val="0081719A"/>
    <w:rsid w:val="00820814"/>
    <w:rsid w:val="0083536F"/>
    <w:rsid w:val="00853633"/>
    <w:rsid w:val="0087410D"/>
    <w:rsid w:val="008A4B9F"/>
    <w:rsid w:val="008B0549"/>
    <w:rsid w:val="008B3B11"/>
    <w:rsid w:val="008B797E"/>
    <w:rsid w:val="008C0F2C"/>
    <w:rsid w:val="008C1222"/>
    <w:rsid w:val="008D57AC"/>
    <w:rsid w:val="008D73E7"/>
    <w:rsid w:val="008E079D"/>
    <w:rsid w:val="008E2BEB"/>
    <w:rsid w:val="00907DF4"/>
    <w:rsid w:val="00910831"/>
    <w:rsid w:val="00931CE6"/>
    <w:rsid w:val="009340E7"/>
    <w:rsid w:val="0093605D"/>
    <w:rsid w:val="00937E69"/>
    <w:rsid w:val="00945974"/>
    <w:rsid w:val="0094617D"/>
    <w:rsid w:val="00983263"/>
    <w:rsid w:val="00985D12"/>
    <w:rsid w:val="00987C4D"/>
    <w:rsid w:val="00990633"/>
    <w:rsid w:val="009A2F35"/>
    <w:rsid w:val="009B096F"/>
    <w:rsid w:val="009C2982"/>
    <w:rsid w:val="009C3DBB"/>
    <w:rsid w:val="009C4281"/>
    <w:rsid w:val="009E2764"/>
    <w:rsid w:val="009E6E27"/>
    <w:rsid w:val="00A11B16"/>
    <w:rsid w:val="00A13CAD"/>
    <w:rsid w:val="00A2416A"/>
    <w:rsid w:val="00A25319"/>
    <w:rsid w:val="00A5457A"/>
    <w:rsid w:val="00A709A1"/>
    <w:rsid w:val="00A80054"/>
    <w:rsid w:val="00A94DF8"/>
    <w:rsid w:val="00AA0519"/>
    <w:rsid w:val="00AC46C0"/>
    <w:rsid w:val="00AC4B73"/>
    <w:rsid w:val="00AD61A3"/>
    <w:rsid w:val="00AE02DF"/>
    <w:rsid w:val="00B048F8"/>
    <w:rsid w:val="00B128B4"/>
    <w:rsid w:val="00B14627"/>
    <w:rsid w:val="00B15DB8"/>
    <w:rsid w:val="00B23190"/>
    <w:rsid w:val="00B24C17"/>
    <w:rsid w:val="00B26659"/>
    <w:rsid w:val="00B365C1"/>
    <w:rsid w:val="00B43E43"/>
    <w:rsid w:val="00B45C23"/>
    <w:rsid w:val="00B50F05"/>
    <w:rsid w:val="00B711C5"/>
    <w:rsid w:val="00B7274F"/>
    <w:rsid w:val="00B73A61"/>
    <w:rsid w:val="00B929FC"/>
    <w:rsid w:val="00B93888"/>
    <w:rsid w:val="00B9643C"/>
    <w:rsid w:val="00BB02EF"/>
    <w:rsid w:val="00BB6D03"/>
    <w:rsid w:val="00BC18D2"/>
    <w:rsid w:val="00BC33C1"/>
    <w:rsid w:val="00BD2DF1"/>
    <w:rsid w:val="00BE00BA"/>
    <w:rsid w:val="00BE51CF"/>
    <w:rsid w:val="00C02E38"/>
    <w:rsid w:val="00C11C6E"/>
    <w:rsid w:val="00C15BA1"/>
    <w:rsid w:val="00C16277"/>
    <w:rsid w:val="00C54EFC"/>
    <w:rsid w:val="00C55403"/>
    <w:rsid w:val="00C5684A"/>
    <w:rsid w:val="00C746D4"/>
    <w:rsid w:val="00C9693F"/>
    <w:rsid w:val="00CB445C"/>
    <w:rsid w:val="00CB5AA0"/>
    <w:rsid w:val="00CB6DA6"/>
    <w:rsid w:val="00CC5C69"/>
    <w:rsid w:val="00CD0B96"/>
    <w:rsid w:val="00CE2890"/>
    <w:rsid w:val="00CE6424"/>
    <w:rsid w:val="00CF2138"/>
    <w:rsid w:val="00CF25DC"/>
    <w:rsid w:val="00D079DF"/>
    <w:rsid w:val="00D14A87"/>
    <w:rsid w:val="00D20087"/>
    <w:rsid w:val="00D40875"/>
    <w:rsid w:val="00D5089D"/>
    <w:rsid w:val="00D62DAA"/>
    <w:rsid w:val="00D72F1A"/>
    <w:rsid w:val="00D84A85"/>
    <w:rsid w:val="00D9193C"/>
    <w:rsid w:val="00D93078"/>
    <w:rsid w:val="00D932D0"/>
    <w:rsid w:val="00DA0254"/>
    <w:rsid w:val="00DA5FB4"/>
    <w:rsid w:val="00DC5BD0"/>
    <w:rsid w:val="00DE5AB5"/>
    <w:rsid w:val="00E02073"/>
    <w:rsid w:val="00E31204"/>
    <w:rsid w:val="00E53EDA"/>
    <w:rsid w:val="00E710D8"/>
    <w:rsid w:val="00E74148"/>
    <w:rsid w:val="00E86D9E"/>
    <w:rsid w:val="00E97673"/>
    <w:rsid w:val="00EA1D47"/>
    <w:rsid w:val="00EC30F3"/>
    <w:rsid w:val="00EC403E"/>
    <w:rsid w:val="00EE178D"/>
    <w:rsid w:val="00EE660D"/>
    <w:rsid w:val="00EF3B6E"/>
    <w:rsid w:val="00F175E0"/>
    <w:rsid w:val="00F22EDC"/>
    <w:rsid w:val="00F3458F"/>
    <w:rsid w:val="00F3582E"/>
    <w:rsid w:val="00F408AF"/>
    <w:rsid w:val="00F430A6"/>
    <w:rsid w:val="00F452E2"/>
    <w:rsid w:val="00F4787D"/>
    <w:rsid w:val="00F60CDF"/>
    <w:rsid w:val="00F75DFD"/>
    <w:rsid w:val="00F84DC7"/>
    <w:rsid w:val="00FA7D0E"/>
    <w:rsid w:val="00FD39D4"/>
    <w:rsid w:val="00FE1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05115"/>
  <w15:docId w15:val="{B95B1462-403D-4CF4-9C1B-75AE4D4E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C6C2B"/>
    <w:pPr>
      <w:spacing w:after="120" w:line="300" w:lineRule="atLeast"/>
      <w:jc w:val="both"/>
    </w:pPr>
    <w:rPr>
      <w:rFonts w:ascii="Arial" w:hAnsi="Arial"/>
      <w:sz w:val="22"/>
    </w:rPr>
  </w:style>
  <w:style w:type="paragraph" w:styleId="berschrift1">
    <w:name w:val="heading 1"/>
    <w:basedOn w:val="Standard"/>
    <w:next w:val="Standard"/>
    <w:link w:val="berschrift1Zchn"/>
    <w:uiPriority w:val="9"/>
    <w:qFormat/>
    <w:rsid w:val="004E4B7C"/>
    <w:pPr>
      <w:keepNext/>
      <w:ind w:left="567" w:hanging="567"/>
      <w:outlineLvl w:val="0"/>
    </w:pPr>
    <w:rPr>
      <w:b/>
      <w:kern w:val="28"/>
    </w:rPr>
  </w:style>
  <w:style w:type="paragraph" w:styleId="berschrift2">
    <w:name w:val="heading 2"/>
    <w:basedOn w:val="Standard"/>
    <w:next w:val="Standard"/>
    <w:link w:val="berschrift2Zchn"/>
    <w:uiPriority w:val="9"/>
    <w:qFormat/>
    <w:rsid w:val="004E4B7C"/>
    <w:pPr>
      <w:keepNext/>
      <w:ind w:left="567" w:hanging="567"/>
      <w:outlineLvl w:val="1"/>
    </w:pPr>
    <w:rPr>
      <w:b/>
    </w:rPr>
  </w:style>
  <w:style w:type="paragraph" w:styleId="berschrift3">
    <w:name w:val="heading 3"/>
    <w:basedOn w:val="Standard"/>
    <w:next w:val="Standard"/>
    <w:link w:val="berschrift3Zchn"/>
    <w:uiPriority w:val="9"/>
    <w:qFormat/>
    <w:rsid w:val="00471B9D"/>
    <w:pPr>
      <w:keepNext/>
      <w:tabs>
        <w:tab w:val="left" w:pos="1134"/>
        <w:tab w:val="left" w:pos="1418"/>
      </w:tabs>
      <w:ind w:left="851" w:hanging="851"/>
      <w:outlineLvl w:val="2"/>
    </w:pPr>
    <w:rPr>
      <w:b/>
    </w:rPr>
  </w:style>
  <w:style w:type="paragraph" w:styleId="berschrift4">
    <w:name w:val="heading 4"/>
    <w:basedOn w:val="Standard"/>
    <w:next w:val="Standard"/>
    <w:link w:val="berschrift4Zchn"/>
    <w:uiPriority w:val="9"/>
    <w:qFormat/>
    <w:rsid w:val="00471B9D"/>
    <w:pPr>
      <w:keepNext/>
      <w:tabs>
        <w:tab w:val="left" w:pos="1134"/>
        <w:tab w:val="left" w:pos="1418"/>
      </w:tabs>
      <w:ind w:left="851" w:hanging="851"/>
      <w:outlineLvl w:val="3"/>
    </w:pPr>
    <w:rPr>
      <w:b/>
    </w:rPr>
  </w:style>
  <w:style w:type="paragraph" w:styleId="berschrift5">
    <w:name w:val="heading 5"/>
    <w:basedOn w:val="Standard"/>
    <w:next w:val="Standard"/>
    <w:qFormat/>
    <w:rsid w:val="00471B9D"/>
    <w:pPr>
      <w:keepNext/>
      <w:tabs>
        <w:tab w:val="left" w:pos="1134"/>
        <w:tab w:val="left" w:pos="1418"/>
      </w:tabs>
      <w:ind w:left="1134" w:hanging="1134"/>
      <w:outlineLvl w:val="4"/>
    </w:pPr>
    <w:rPr>
      <w:b/>
    </w:rPr>
  </w:style>
  <w:style w:type="paragraph" w:styleId="berschrift6">
    <w:name w:val="heading 6"/>
    <w:basedOn w:val="Standard"/>
    <w:next w:val="Standard"/>
    <w:qFormat/>
    <w:rsid w:val="00BB02EF"/>
    <w:pPr>
      <w:keepNext/>
      <w:outlineLvl w:val="5"/>
    </w:pPr>
    <w:rPr>
      <w:b/>
    </w:rPr>
  </w:style>
  <w:style w:type="paragraph" w:styleId="berschrift7">
    <w:name w:val="heading 7"/>
    <w:basedOn w:val="Standard"/>
    <w:next w:val="Standard"/>
    <w:qFormat/>
    <w:rsid w:val="00BB02EF"/>
    <w:pPr>
      <w:keepNext/>
      <w:outlineLvl w:val="6"/>
    </w:pPr>
    <w:rPr>
      <w:b/>
    </w:rPr>
  </w:style>
  <w:style w:type="paragraph" w:styleId="berschrift8">
    <w:name w:val="heading 8"/>
    <w:basedOn w:val="Standard"/>
    <w:next w:val="Standard"/>
    <w:qFormat/>
    <w:rsid w:val="00BB02EF"/>
    <w:pPr>
      <w:keepNext/>
      <w:outlineLvl w:val="7"/>
    </w:pPr>
    <w:rPr>
      <w:b/>
    </w:rPr>
  </w:style>
  <w:style w:type="paragraph" w:styleId="berschrift9">
    <w:name w:val="heading 9"/>
    <w:basedOn w:val="Standard"/>
    <w:next w:val="Standard"/>
    <w:qFormat/>
    <w:rsid w:val="00BB02EF"/>
    <w:pPr>
      <w:keepNext/>
      <w:outlineLvl w:val="8"/>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dwlistfree5">
    <w:name w:val="idw_listfree5"/>
    <w:basedOn w:val="idwlistfree4"/>
    <w:qFormat/>
    <w:rsid w:val="00EF3B6E"/>
    <w:pPr>
      <w:ind w:left="2835"/>
    </w:pPr>
  </w:style>
  <w:style w:type="character" w:styleId="Funotenzeichen">
    <w:name w:val="footnote reference"/>
    <w:basedOn w:val="Absatz-Standardschriftart"/>
    <w:autoRedefine/>
    <w:uiPriority w:val="99"/>
    <w:semiHidden/>
    <w:rPr>
      <w:rFonts w:ascii="Arial" w:hAnsi="Arial"/>
      <w:sz w:val="18"/>
      <w:effect w:val="none"/>
      <w:vertAlign w:val="superscript"/>
    </w:rPr>
  </w:style>
  <w:style w:type="paragraph" w:customStyle="1" w:styleId="idwfassung">
    <w:name w:val="idw_fassung"/>
    <w:basedOn w:val="Standard"/>
    <w:next w:val="Standard"/>
    <w:pPr>
      <w:spacing w:line="360" w:lineRule="atLeast"/>
      <w:jc w:val="center"/>
    </w:pPr>
  </w:style>
  <w:style w:type="paragraph" w:customStyle="1" w:styleId="idwanlh1">
    <w:name w:val="idw_anl_h1"/>
    <w:basedOn w:val="Standard"/>
    <w:next w:val="Standard"/>
    <w:rsid w:val="00983263"/>
    <w:pPr>
      <w:keepNext/>
      <w:tabs>
        <w:tab w:val="left" w:pos="851"/>
      </w:tabs>
      <w:jc w:val="left"/>
    </w:pPr>
    <w:rPr>
      <w:b/>
    </w:rPr>
  </w:style>
  <w:style w:type="paragraph" w:styleId="Titel">
    <w:name w:val="Title"/>
    <w:basedOn w:val="Standard"/>
    <w:next w:val="idwfassung"/>
    <w:link w:val="TitelZchn"/>
    <w:uiPriority w:val="10"/>
    <w:qFormat/>
    <w:pPr>
      <w:spacing w:before="240"/>
      <w:jc w:val="center"/>
    </w:pPr>
    <w:rPr>
      <w:b/>
      <w:kern w:val="28"/>
      <w:sz w:val="28"/>
    </w:rPr>
  </w:style>
  <w:style w:type="paragraph" w:customStyle="1" w:styleId="idwanlh2">
    <w:name w:val="idw_anl_h2"/>
    <w:basedOn w:val="Standard"/>
    <w:next w:val="Standard"/>
    <w:rsid w:val="00C15BA1"/>
    <w:pPr>
      <w:keepNext/>
      <w:spacing w:before="240"/>
      <w:jc w:val="left"/>
    </w:pPr>
    <w:rPr>
      <w:b/>
    </w:rPr>
  </w:style>
  <w:style w:type="paragraph" w:customStyle="1" w:styleId="idwanlh3">
    <w:name w:val="idw_anl_h3"/>
    <w:basedOn w:val="Standard"/>
    <w:next w:val="Standard"/>
    <w:rsid w:val="00C15BA1"/>
    <w:pPr>
      <w:keepNext/>
      <w:spacing w:before="240"/>
      <w:jc w:val="left"/>
    </w:pPr>
    <w:rPr>
      <w:b/>
    </w:rPr>
  </w:style>
  <w:style w:type="paragraph" w:styleId="Kopfzeile">
    <w:name w:val="header"/>
    <w:basedOn w:val="Standard"/>
    <w:pPr>
      <w:tabs>
        <w:tab w:val="center" w:pos="4536"/>
        <w:tab w:val="right" w:pos="9072"/>
      </w:tabs>
      <w:jc w:val="center"/>
    </w:pPr>
    <w:rPr>
      <w:i/>
      <w:sz w:val="18"/>
    </w:r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rPr>
      <w:rFonts w:ascii="Arial" w:hAnsi="Arial"/>
      <w:sz w:val="22"/>
    </w:rPr>
  </w:style>
  <w:style w:type="paragraph" w:styleId="Funotentext">
    <w:name w:val="footnote text"/>
    <w:basedOn w:val="Standard"/>
    <w:link w:val="FunotentextZchn"/>
    <w:uiPriority w:val="99"/>
    <w:semiHidden/>
    <w:pPr>
      <w:tabs>
        <w:tab w:val="left" w:pos="284"/>
      </w:tabs>
      <w:spacing w:after="60" w:line="240" w:lineRule="auto"/>
      <w:ind w:left="284" w:hanging="284"/>
    </w:pPr>
    <w:rPr>
      <w:sz w:val="18"/>
    </w:rPr>
  </w:style>
  <w:style w:type="paragraph" w:styleId="Verzeichnis1">
    <w:name w:val="toc 1"/>
    <w:basedOn w:val="Standard"/>
    <w:next w:val="Standard"/>
    <w:uiPriority w:val="39"/>
    <w:pPr>
      <w:tabs>
        <w:tab w:val="left" w:pos="567"/>
        <w:tab w:val="right" w:leader="dot" w:pos="9072"/>
      </w:tabs>
      <w:spacing w:after="60" w:line="240" w:lineRule="auto"/>
      <w:ind w:left="567" w:right="709" w:hanging="567"/>
      <w:jc w:val="left"/>
    </w:pPr>
  </w:style>
  <w:style w:type="paragraph" w:customStyle="1" w:styleId="idwanlh4">
    <w:name w:val="idw_anl_h4"/>
    <w:basedOn w:val="Standard"/>
    <w:next w:val="Standard"/>
    <w:rsid w:val="00C15BA1"/>
    <w:pPr>
      <w:keepNext/>
      <w:spacing w:before="240"/>
      <w:jc w:val="left"/>
    </w:pPr>
    <w:rPr>
      <w:b/>
    </w:rPr>
  </w:style>
  <w:style w:type="paragraph" w:customStyle="1" w:styleId="idwanlh5">
    <w:name w:val="idw_anl_h5"/>
    <w:basedOn w:val="Standard"/>
    <w:next w:val="Standard"/>
    <w:rsid w:val="00D62DAA"/>
    <w:pPr>
      <w:keepNext/>
      <w:spacing w:before="240"/>
      <w:jc w:val="left"/>
    </w:pPr>
  </w:style>
  <w:style w:type="paragraph" w:styleId="Verzeichnis2">
    <w:name w:val="toc 2"/>
    <w:basedOn w:val="Standard"/>
    <w:next w:val="Standard"/>
    <w:uiPriority w:val="39"/>
    <w:pPr>
      <w:tabs>
        <w:tab w:val="left" w:pos="1134"/>
        <w:tab w:val="right" w:leader="dot" w:pos="9072"/>
      </w:tabs>
      <w:spacing w:after="60" w:line="240" w:lineRule="auto"/>
      <w:ind w:left="1134" w:right="709" w:hanging="567"/>
      <w:jc w:val="left"/>
    </w:pPr>
    <w:rPr>
      <w:noProof/>
    </w:rPr>
  </w:style>
  <w:style w:type="paragraph" w:styleId="Verzeichnis3">
    <w:name w:val="toc 3"/>
    <w:basedOn w:val="Standard"/>
    <w:next w:val="Standard"/>
    <w:uiPriority w:val="39"/>
    <w:pPr>
      <w:tabs>
        <w:tab w:val="left" w:pos="1843"/>
        <w:tab w:val="right" w:leader="dot" w:pos="9072"/>
      </w:tabs>
      <w:spacing w:after="60" w:line="240" w:lineRule="auto"/>
      <w:ind w:left="1843" w:right="709" w:hanging="709"/>
      <w:jc w:val="left"/>
    </w:pPr>
    <w:rPr>
      <w:noProof/>
    </w:rPr>
  </w:style>
  <w:style w:type="paragraph" w:styleId="Verzeichnis4">
    <w:name w:val="toc 4"/>
    <w:basedOn w:val="Standard"/>
    <w:next w:val="Standard"/>
    <w:uiPriority w:val="39"/>
    <w:pPr>
      <w:tabs>
        <w:tab w:val="left" w:pos="2835"/>
        <w:tab w:val="right" w:leader="dot" w:pos="9072"/>
      </w:tabs>
      <w:spacing w:after="60" w:line="240" w:lineRule="auto"/>
      <w:ind w:left="2835" w:right="709" w:hanging="992"/>
      <w:jc w:val="left"/>
    </w:pPr>
    <w:rPr>
      <w:noProof/>
    </w:rPr>
  </w:style>
  <w:style w:type="paragraph" w:customStyle="1" w:styleId="Zwischenberschrift">
    <w:name w:val="Zwischenüberschrift"/>
    <w:basedOn w:val="Standard"/>
    <w:next w:val="Standard"/>
    <w:pPr>
      <w:keepNext/>
      <w:ind w:left="851"/>
    </w:pPr>
    <w:rPr>
      <w:b/>
    </w:rPr>
  </w:style>
  <w:style w:type="paragraph" w:customStyle="1" w:styleId="idwlistempty5">
    <w:name w:val="idw_listempty5"/>
    <w:basedOn w:val="idwlistempty4"/>
    <w:qFormat/>
    <w:rsid w:val="00EF3B6E"/>
    <w:pPr>
      <w:ind w:left="2835"/>
    </w:pPr>
  </w:style>
  <w:style w:type="paragraph" w:styleId="Kommentartext">
    <w:name w:val="annotation text"/>
    <w:basedOn w:val="Standard"/>
    <w:link w:val="KommentartextZchn"/>
    <w:semiHidden/>
    <w:rPr>
      <w:i/>
    </w:rPr>
  </w:style>
  <w:style w:type="character" w:styleId="Hyperlink">
    <w:name w:val="Hyperlink"/>
    <w:basedOn w:val="Absatz-Standardschriftart"/>
    <w:uiPriority w:val="99"/>
    <w:rPr>
      <w:color w:val="0000FF"/>
      <w:u w:val="single"/>
    </w:rPr>
  </w:style>
  <w:style w:type="paragraph" w:customStyle="1" w:styleId="idwlistempty1">
    <w:name w:val="idw_listempty1"/>
    <w:basedOn w:val="Standard"/>
    <w:rsid w:val="005E6E37"/>
    <w:pPr>
      <w:numPr>
        <w:numId w:val="21"/>
      </w:numPr>
      <w:tabs>
        <w:tab w:val="clear" w:pos="567"/>
        <w:tab w:val="num" w:pos="360"/>
      </w:tabs>
      <w:spacing w:after="60"/>
      <w:ind w:left="0" w:firstLine="0"/>
      <w:jc w:val="left"/>
    </w:pPr>
    <w:rPr>
      <w:rFonts w:eastAsia="Arial Unicode MS"/>
      <w:szCs w:val="22"/>
    </w:rPr>
  </w:style>
  <w:style w:type="paragraph" w:styleId="Verzeichnis5">
    <w:name w:val="toc 5"/>
    <w:basedOn w:val="Standard"/>
    <w:next w:val="Standard"/>
    <w:semiHidden/>
    <w:pPr>
      <w:tabs>
        <w:tab w:val="right" w:leader="dot" w:pos="9072"/>
      </w:tabs>
      <w:spacing w:line="240" w:lineRule="auto"/>
      <w:ind w:right="567"/>
    </w:pPr>
  </w:style>
  <w:style w:type="paragraph" w:styleId="Verzeichnis6">
    <w:name w:val="toc 6"/>
    <w:basedOn w:val="Standard"/>
    <w:next w:val="Standard"/>
    <w:semiHidden/>
    <w:pPr>
      <w:tabs>
        <w:tab w:val="left" w:pos="567"/>
        <w:tab w:val="right" w:leader="dot" w:pos="9072"/>
      </w:tabs>
      <w:spacing w:line="240" w:lineRule="auto"/>
    </w:pPr>
  </w:style>
  <w:style w:type="paragraph" w:styleId="Verzeichnis7">
    <w:name w:val="toc 7"/>
    <w:basedOn w:val="Standard"/>
    <w:next w:val="Standard"/>
    <w:semiHidden/>
    <w:pPr>
      <w:tabs>
        <w:tab w:val="left" w:pos="1134"/>
        <w:tab w:val="right" w:leader="dot" w:pos="9072"/>
      </w:tabs>
      <w:spacing w:line="240" w:lineRule="auto"/>
      <w:ind w:left="1134" w:right="709" w:hanging="567"/>
    </w:pPr>
  </w:style>
  <w:style w:type="paragraph" w:styleId="Verzeichnis8">
    <w:name w:val="toc 8"/>
    <w:basedOn w:val="Standard"/>
    <w:next w:val="Standard"/>
    <w:semiHidden/>
    <w:pPr>
      <w:tabs>
        <w:tab w:val="left" w:pos="1843"/>
        <w:tab w:val="right" w:leader="dot" w:pos="9072"/>
      </w:tabs>
      <w:spacing w:line="240" w:lineRule="auto"/>
      <w:ind w:left="1843" w:right="709" w:hanging="709"/>
    </w:pPr>
  </w:style>
  <w:style w:type="paragraph" w:styleId="Verzeichnis9">
    <w:name w:val="toc 9"/>
    <w:basedOn w:val="Standard"/>
    <w:next w:val="Standard"/>
    <w:semiHidden/>
    <w:pPr>
      <w:tabs>
        <w:tab w:val="left" w:pos="2835"/>
        <w:tab w:val="right" w:leader="dot" w:pos="9072"/>
      </w:tabs>
      <w:spacing w:line="240" w:lineRule="auto"/>
      <w:ind w:left="2835" w:right="709" w:hanging="992"/>
    </w:pPr>
  </w:style>
  <w:style w:type="character" w:customStyle="1" w:styleId="KommentartextZchn">
    <w:name w:val="Kommentartext Zchn"/>
    <w:basedOn w:val="Absatz-Standardschriftart"/>
    <w:link w:val="Kommentartext"/>
    <w:semiHidden/>
    <w:rsid w:val="00052AED"/>
    <w:rPr>
      <w:rFonts w:ascii="Arial" w:hAnsi="Arial"/>
      <w:i/>
      <w:sz w:val="22"/>
    </w:rPr>
  </w:style>
  <w:style w:type="paragraph" w:customStyle="1" w:styleId="idwlistempty2">
    <w:name w:val="idw_listempty2"/>
    <w:basedOn w:val="Standard"/>
    <w:rsid w:val="005E6E37"/>
    <w:pPr>
      <w:numPr>
        <w:ilvl w:val="1"/>
        <w:numId w:val="21"/>
      </w:numPr>
      <w:tabs>
        <w:tab w:val="clear" w:pos="1134"/>
        <w:tab w:val="num" w:pos="360"/>
      </w:tabs>
      <w:spacing w:after="60"/>
      <w:ind w:firstLine="0"/>
      <w:jc w:val="left"/>
    </w:pPr>
    <w:rPr>
      <w:rFonts w:eastAsia="Arial Unicode MS"/>
      <w:szCs w:val="22"/>
    </w:rPr>
  </w:style>
  <w:style w:type="paragraph" w:customStyle="1" w:styleId="idwlistempty3">
    <w:name w:val="idw_listempty3"/>
    <w:basedOn w:val="Standard"/>
    <w:rsid w:val="005E6E37"/>
    <w:pPr>
      <w:numPr>
        <w:ilvl w:val="2"/>
        <w:numId w:val="21"/>
      </w:numPr>
      <w:spacing w:after="60"/>
      <w:ind w:firstLine="0"/>
      <w:jc w:val="left"/>
    </w:pPr>
    <w:rPr>
      <w:rFonts w:eastAsia="Arial Unicode MS"/>
      <w:szCs w:val="22"/>
    </w:rPr>
  </w:style>
  <w:style w:type="character" w:styleId="Hervorhebung">
    <w:name w:val="Emphasis"/>
    <w:basedOn w:val="Absatz-Standardschriftart"/>
    <w:uiPriority w:val="20"/>
    <w:qFormat/>
    <w:rsid w:val="009B096F"/>
    <w:rPr>
      <w:i/>
      <w:iCs/>
    </w:rPr>
  </w:style>
  <w:style w:type="character" w:styleId="Kommentarzeichen">
    <w:name w:val="annotation reference"/>
    <w:basedOn w:val="Absatz-Standardschriftart"/>
    <w:uiPriority w:val="99"/>
    <w:rsid w:val="0060231E"/>
    <w:rPr>
      <w:sz w:val="16"/>
      <w:szCs w:val="16"/>
    </w:rPr>
  </w:style>
  <w:style w:type="paragraph" w:styleId="Kommentarthema">
    <w:name w:val="annotation subject"/>
    <w:basedOn w:val="Kommentartext"/>
    <w:next w:val="Kommentartext"/>
    <w:link w:val="KommentarthemaZchn"/>
    <w:rsid w:val="0060231E"/>
    <w:pPr>
      <w:spacing w:line="240" w:lineRule="auto"/>
    </w:pPr>
    <w:rPr>
      <w:b/>
      <w:bCs/>
      <w:i w:val="0"/>
      <w:sz w:val="20"/>
    </w:rPr>
  </w:style>
  <w:style w:type="character" w:customStyle="1" w:styleId="KommentarthemaZchn">
    <w:name w:val="Kommentarthema Zchn"/>
    <w:basedOn w:val="KommentartextZchn"/>
    <w:link w:val="Kommentarthema"/>
    <w:rsid w:val="0060231E"/>
    <w:rPr>
      <w:rFonts w:ascii="Arial" w:hAnsi="Arial"/>
      <w:b/>
      <w:bCs/>
      <w:i w:val="0"/>
      <w:sz w:val="22"/>
    </w:rPr>
  </w:style>
  <w:style w:type="paragraph" w:styleId="Sprechblasentext">
    <w:name w:val="Balloon Text"/>
    <w:basedOn w:val="Standard"/>
    <w:link w:val="SprechblasentextZchn"/>
    <w:rsid w:val="0060231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0231E"/>
    <w:rPr>
      <w:rFonts w:ascii="Tahoma" w:hAnsi="Tahoma" w:cs="Tahoma"/>
      <w:sz w:val="16"/>
      <w:szCs w:val="16"/>
    </w:rPr>
  </w:style>
  <w:style w:type="character" w:customStyle="1" w:styleId="FuzeileZchn">
    <w:name w:val="Fußzeile Zchn"/>
    <w:basedOn w:val="Absatz-Standardschriftart"/>
    <w:link w:val="Fuzeile"/>
    <w:rsid w:val="00024A7E"/>
    <w:rPr>
      <w:rFonts w:ascii="Arial" w:hAnsi="Arial"/>
      <w:sz w:val="22"/>
    </w:rPr>
  </w:style>
  <w:style w:type="paragraph" w:customStyle="1" w:styleId="idwabsatz">
    <w:name w:val="idw_absatz"/>
    <w:basedOn w:val="Standard"/>
    <w:qFormat/>
    <w:rsid w:val="00DA5FB4"/>
  </w:style>
  <w:style w:type="paragraph" w:customStyle="1" w:styleId="berschrift0">
    <w:name w:val="Überschrift 0"/>
    <w:basedOn w:val="berschrift1"/>
    <w:qFormat/>
    <w:rsid w:val="00FE199D"/>
    <w:pPr>
      <w:outlineLvl w:val="9"/>
    </w:pPr>
    <w:rPr>
      <w:sz w:val="28"/>
    </w:rPr>
  </w:style>
  <w:style w:type="paragraph" w:customStyle="1" w:styleId="idwrzabsatz">
    <w:name w:val="idw_rzabsatz"/>
    <w:basedOn w:val="Standard"/>
    <w:qFormat/>
    <w:rsid w:val="00DA5FB4"/>
    <w:pPr>
      <w:ind w:hanging="567"/>
    </w:pPr>
  </w:style>
  <w:style w:type="paragraph" w:customStyle="1" w:styleId="idwlistfree1">
    <w:name w:val="idw_listfree1"/>
    <w:basedOn w:val="Standard"/>
    <w:rsid w:val="005E6E37"/>
    <w:pPr>
      <w:spacing w:after="60"/>
      <w:ind w:left="567" w:hanging="567"/>
      <w:jc w:val="left"/>
    </w:pPr>
    <w:rPr>
      <w:rFonts w:eastAsia="Arial Unicode MS"/>
      <w:szCs w:val="22"/>
    </w:rPr>
  </w:style>
  <w:style w:type="paragraph" w:customStyle="1" w:styleId="idwlistfree2">
    <w:name w:val="idw_listfree2"/>
    <w:basedOn w:val="idwlistfree1"/>
    <w:rsid w:val="00EF3B6E"/>
    <w:pPr>
      <w:ind w:left="1134"/>
    </w:pPr>
  </w:style>
  <w:style w:type="paragraph" w:customStyle="1" w:styleId="idwlistfree3">
    <w:name w:val="idw_listfree3"/>
    <w:basedOn w:val="idwlistfree2"/>
    <w:rsid w:val="00EF3B6E"/>
    <w:pPr>
      <w:ind w:left="1701"/>
    </w:pPr>
  </w:style>
  <w:style w:type="paragraph" w:customStyle="1" w:styleId="idwlistfree4">
    <w:name w:val="idw_listfree4"/>
    <w:basedOn w:val="idwlistfree3"/>
    <w:qFormat/>
    <w:rsid w:val="00EF3B6E"/>
    <w:pPr>
      <w:ind w:left="2268"/>
    </w:pPr>
  </w:style>
  <w:style w:type="paragraph" w:customStyle="1" w:styleId="idwlistempty4">
    <w:name w:val="idw_listempty4"/>
    <w:basedOn w:val="idwlistempty3"/>
    <w:qFormat/>
    <w:rsid w:val="00EF3B6E"/>
    <w:pPr>
      <w:numPr>
        <w:ilvl w:val="3"/>
      </w:numPr>
      <w:ind w:firstLine="0"/>
    </w:pPr>
  </w:style>
  <w:style w:type="table" w:styleId="Tabellenraster">
    <w:name w:val="Table Grid"/>
    <w:basedOn w:val="NormaleTabelle"/>
    <w:rsid w:val="00CE6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dwpotlink">
    <w:name w:val="idw_pot_link"/>
    <w:basedOn w:val="Absatz-Standardschriftart"/>
    <w:uiPriority w:val="1"/>
    <w:rsid w:val="007A74B4"/>
    <w:rPr>
      <w:u w:val="single"/>
      <w:bdr w:val="none" w:sz="0" w:space="0" w:color="auto"/>
      <w:shd w:val="clear" w:color="auto" w:fill="FF99FF"/>
    </w:rPr>
  </w:style>
  <w:style w:type="character" w:customStyle="1" w:styleId="TitelZchn">
    <w:name w:val="Titel Zchn"/>
    <w:basedOn w:val="Absatz-Standardschriftart"/>
    <w:link w:val="Titel"/>
    <w:uiPriority w:val="10"/>
    <w:rsid w:val="008B3B11"/>
    <w:rPr>
      <w:rFonts w:ascii="Arial" w:hAnsi="Arial"/>
      <w:b/>
      <w:kern w:val="28"/>
      <w:sz w:val="28"/>
    </w:rPr>
  </w:style>
  <w:style w:type="character" w:customStyle="1" w:styleId="berschrift1Zchn">
    <w:name w:val="Überschrift 1 Zchn"/>
    <w:basedOn w:val="Absatz-Standardschriftart"/>
    <w:link w:val="berschrift1"/>
    <w:uiPriority w:val="9"/>
    <w:rsid w:val="004E4B7C"/>
    <w:rPr>
      <w:rFonts w:ascii="Arial" w:hAnsi="Arial"/>
      <w:b/>
      <w:kern w:val="28"/>
      <w:sz w:val="22"/>
    </w:rPr>
  </w:style>
  <w:style w:type="character" w:customStyle="1" w:styleId="berschrift2Zchn">
    <w:name w:val="Überschrift 2 Zchn"/>
    <w:basedOn w:val="Absatz-Standardschriftart"/>
    <w:link w:val="berschrift2"/>
    <w:uiPriority w:val="9"/>
    <w:rsid w:val="004E4B7C"/>
    <w:rPr>
      <w:rFonts w:ascii="Arial" w:hAnsi="Arial"/>
      <w:b/>
      <w:sz w:val="22"/>
    </w:rPr>
  </w:style>
  <w:style w:type="character" w:customStyle="1" w:styleId="berschrift3Zchn">
    <w:name w:val="Überschrift 3 Zchn"/>
    <w:basedOn w:val="Absatz-Standardschriftart"/>
    <w:link w:val="berschrift3"/>
    <w:uiPriority w:val="9"/>
    <w:rsid w:val="00471B9D"/>
    <w:rPr>
      <w:rFonts w:ascii="Arial" w:hAnsi="Arial"/>
      <w:b/>
      <w:sz w:val="22"/>
    </w:rPr>
  </w:style>
  <w:style w:type="character" w:customStyle="1" w:styleId="berschrift4Zchn">
    <w:name w:val="Überschrift 4 Zchn"/>
    <w:basedOn w:val="Absatz-Standardschriftart"/>
    <w:link w:val="berschrift4"/>
    <w:uiPriority w:val="9"/>
    <w:rsid w:val="00471B9D"/>
    <w:rPr>
      <w:rFonts w:ascii="Arial" w:hAnsi="Arial"/>
      <w:b/>
      <w:sz w:val="22"/>
    </w:rPr>
  </w:style>
  <w:style w:type="paragraph" w:customStyle="1" w:styleId="idwh0">
    <w:name w:val="idw_h0"/>
    <w:basedOn w:val="berschrift0"/>
    <w:next w:val="Standard"/>
    <w:rsid w:val="000E3B54"/>
    <w:pPr>
      <w:spacing w:before="480"/>
      <w:jc w:val="left"/>
      <w:outlineLvl w:val="0"/>
    </w:pPr>
  </w:style>
  <w:style w:type="paragraph" w:customStyle="1" w:styleId="idwzw">
    <w:name w:val="idw_zw"/>
    <w:basedOn w:val="Zwischenberschrift"/>
    <w:next w:val="idwabsatz"/>
    <w:rsid w:val="00EF3B6E"/>
    <w:pPr>
      <w:ind w:left="567"/>
    </w:pPr>
  </w:style>
  <w:style w:type="paragraph" w:customStyle="1" w:styleId="idwtababs">
    <w:name w:val="idw_tababs"/>
    <w:basedOn w:val="Standard"/>
    <w:qFormat/>
    <w:rsid w:val="005E6E37"/>
    <w:pPr>
      <w:spacing w:after="80" w:line="260" w:lineRule="exact"/>
      <w:jc w:val="left"/>
    </w:pPr>
    <w:rPr>
      <w:bCs/>
      <w:sz w:val="20"/>
    </w:rPr>
  </w:style>
  <w:style w:type="paragraph" w:customStyle="1" w:styleId="idwtablistfree1">
    <w:name w:val="idw_tablistfree1"/>
    <w:basedOn w:val="idwlistfree1"/>
    <w:qFormat/>
    <w:rsid w:val="005E6E37"/>
    <w:pPr>
      <w:spacing w:line="260" w:lineRule="exact"/>
      <w:ind w:left="340" w:hanging="340"/>
    </w:pPr>
    <w:rPr>
      <w:sz w:val="20"/>
    </w:rPr>
  </w:style>
  <w:style w:type="paragraph" w:customStyle="1" w:styleId="idwtablistempty1">
    <w:name w:val="idw_tablistempty1"/>
    <w:basedOn w:val="idwtablistfree1"/>
    <w:qFormat/>
    <w:rsid w:val="00985D12"/>
    <w:pPr>
      <w:ind w:firstLine="0"/>
    </w:pPr>
  </w:style>
  <w:style w:type="paragraph" w:customStyle="1" w:styleId="idwtablistfree2">
    <w:name w:val="idw_tablistfree2"/>
    <w:basedOn w:val="idwtablistfree1"/>
    <w:qFormat/>
    <w:rsid w:val="00985D12"/>
    <w:pPr>
      <w:ind w:left="680"/>
    </w:pPr>
  </w:style>
  <w:style w:type="paragraph" w:customStyle="1" w:styleId="idwtablistempty2">
    <w:name w:val="idw_tablistempty2"/>
    <w:basedOn w:val="idwtablistempty1"/>
    <w:qFormat/>
    <w:rsid w:val="00985D12"/>
    <w:pPr>
      <w:ind w:left="680"/>
    </w:pPr>
  </w:style>
  <w:style w:type="paragraph" w:customStyle="1" w:styleId="msonormal0">
    <w:name w:val="msonormal"/>
    <w:basedOn w:val="Standard"/>
    <w:rsid w:val="006276C1"/>
    <w:pPr>
      <w:spacing w:before="100" w:beforeAutospacing="1" w:after="100" w:afterAutospacing="1" w:line="240" w:lineRule="auto"/>
      <w:jc w:val="left"/>
    </w:pPr>
    <w:rPr>
      <w:rFonts w:ascii="Times New Roman" w:eastAsiaTheme="minorEastAsia" w:hAnsi="Times New Roman"/>
      <w:sz w:val="24"/>
      <w:szCs w:val="24"/>
    </w:rPr>
  </w:style>
  <w:style w:type="character" w:customStyle="1" w:styleId="FunotentextZchn">
    <w:name w:val="Fußnotentext Zchn"/>
    <w:basedOn w:val="Absatz-Standardschriftart"/>
    <w:link w:val="Funotentext"/>
    <w:uiPriority w:val="99"/>
    <w:semiHidden/>
    <w:rsid w:val="00273AFC"/>
    <w:rPr>
      <w:rFonts w:ascii="Arial" w:hAnsi="Arial"/>
      <w:sz w:val="18"/>
    </w:rPr>
  </w:style>
  <w:style w:type="paragraph" w:styleId="berarbeitung">
    <w:name w:val="Revision"/>
    <w:hidden/>
    <w:uiPriority w:val="99"/>
    <w:semiHidden/>
    <w:rsid w:val="0094617D"/>
    <w:rPr>
      <w:rFonts w:ascii="Arial" w:hAnsi="Arial"/>
      <w:sz w:val="22"/>
    </w:rPr>
  </w:style>
  <w:style w:type="character" w:styleId="NichtaufgelsteErwhnung">
    <w:name w:val="Unresolved Mention"/>
    <w:basedOn w:val="Absatz-Standardschriftart"/>
    <w:uiPriority w:val="99"/>
    <w:semiHidden/>
    <w:unhideWhenUsed/>
    <w:rsid w:val="00DE5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23293">
      <w:bodyDiv w:val="1"/>
      <w:marLeft w:val="0"/>
      <w:marRight w:val="0"/>
      <w:marTop w:val="0"/>
      <w:marBottom w:val="0"/>
      <w:divBdr>
        <w:top w:val="none" w:sz="0" w:space="0" w:color="auto"/>
        <w:left w:val="none" w:sz="0" w:space="0" w:color="auto"/>
        <w:bottom w:val="none" w:sz="0" w:space="0" w:color="auto"/>
        <w:right w:val="none" w:sz="0" w:space="0" w:color="auto"/>
      </w:divBdr>
    </w:div>
    <w:div w:id="545072748">
      <w:bodyDiv w:val="1"/>
      <w:marLeft w:val="0"/>
      <w:marRight w:val="0"/>
      <w:marTop w:val="0"/>
      <w:marBottom w:val="0"/>
      <w:divBdr>
        <w:top w:val="none" w:sz="0" w:space="0" w:color="auto"/>
        <w:left w:val="none" w:sz="0" w:space="0" w:color="auto"/>
        <w:bottom w:val="none" w:sz="0" w:space="0" w:color="auto"/>
        <w:right w:val="none" w:sz="0" w:space="0" w:color="auto"/>
      </w:divBdr>
    </w:div>
    <w:div w:id="788471752">
      <w:bodyDiv w:val="1"/>
      <w:marLeft w:val="0"/>
      <w:marRight w:val="0"/>
      <w:marTop w:val="0"/>
      <w:marBottom w:val="0"/>
      <w:divBdr>
        <w:top w:val="none" w:sz="0" w:space="0" w:color="auto"/>
        <w:left w:val="none" w:sz="0" w:space="0" w:color="auto"/>
        <w:bottom w:val="none" w:sz="0" w:space="0" w:color="auto"/>
        <w:right w:val="none" w:sz="0" w:space="0" w:color="auto"/>
      </w:divBdr>
    </w:div>
    <w:div w:id="1047072344">
      <w:marLeft w:val="0"/>
      <w:marRight w:val="0"/>
      <w:marTop w:val="0"/>
      <w:marBottom w:val="0"/>
      <w:divBdr>
        <w:top w:val="none" w:sz="0" w:space="0" w:color="auto"/>
        <w:left w:val="none" w:sz="0" w:space="0" w:color="auto"/>
        <w:bottom w:val="none" w:sz="0" w:space="0" w:color="auto"/>
        <w:right w:val="none" w:sz="0" w:space="0" w:color="auto"/>
      </w:divBdr>
    </w:div>
    <w:div w:id="1258174560">
      <w:bodyDiv w:val="1"/>
      <w:marLeft w:val="0"/>
      <w:marRight w:val="0"/>
      <w:marTop w:val="0"/>
      <w:marBottom w:val="0"/>
      <w:divBdr>
        <w:top w:val="none" w:sz="0" w:space="0" w:color="auto"/>
        <w:left w:val="none" w:sz="0" w:space="0" w:color="auto"/>
        <w:bottom w:val="none" w:sz="0" w:space="0" w:color="auto"/>
        <w:right w:val="none" w:sz="0" w:space="0" w:color="auto"/>
      </w:divBdr>
    </w:div>
    <w:div w:id="1389260530">
      <w:bodyDiv w:val="1"/>
      <w:marLeft w:val="0"/>
      <w:marRight w:val="0"/>
      <w:marTop w:val="0"/>
      <w:marBottom w:val="0"/>
      <w:divBdr>
        <w:top w:val="none" w:sz="0" w:space="0" w:color="auto"/>
        <w:left w:val="none" w:sz="0" w:space="0" w:color="auto"/>
        <w:bottom w:val="none" w:sz="0" w:space="0" w:color="auto"/>
        <w:right w:val="none" w:sz="0" w:space="0" w:color="auto"/>
      </w:divBdr>
    </w:div>
    <w:div w:id="1789353983">
      <w:marLeft w:val="0"/>
      <w:marRight w:val="0"/>
      <w:marTop w:val="0"/>
      <w:marBottom w:val="0"/>
      <w:divBdr>
        <w:top w:val="none" w:sz="0" w:space="0" w:color="auto"/>
        <w:left w:val="none" w:sz="0" w:space="0" w:color="auto"/>
        <w:bottom w:val="none" w:sz="0" w:space="0" w:color="auto"/>
        <w:right w:val="none" w:sz="0" w:space="0" w:color="auto"/>
      </w:divBdr>
    </w:div>
    <w:div w:id="19755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idw.de/idw-verlag"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netztransparenz.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971C18F03A429D2F5B77133B5799" ma:contentTypeVersion="12" ma:contentTypeDescription="Ein neues Dokument erstellen." ma:contentTypeScope="" ma:versionID="218b1d2902c635755a705d5f4ca6049d">
  <xsd:schema xmlns:xsd="http://www.w3.org/2001/XMLSchema" xmlns:xs="http://www.w3.org/2001/XMLSchema" xmlns:p="http://schemas.microsoft.com/office/2006/metadata/properties" xmlns:ns2="d74882e2-1f66-4103-80d0-0e0e3cad1b51" xmlns:ns3="7e8bd910-5bab-4a0a-912a-55a7569380cf" targetNamespace="http://schemas.microsoft.com/office/2006/metadata/properties" ma:root="true" ma:fieldsID="d6a7a693a41657bfe900d1805d53a5d5" ns2:_="" ns3:_="">
    <xsd:import namespace="d74882e2-1f66-4103-80d0-0e0e3cad1b51"/>
    <xsd:import namespace="7e8bd910-5bab-4a0a-912a-55a7569380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882e2-1f66-4103-80d0-0e0e3cad1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544d5288-69c4-4339-aaf4-381df514ecc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8bd910-5bab-4a0a-912a-55a7569380c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4882e2-1f66-4103-80d0-0e0e3cad1b51">
      <Terms xmlns="http://schemas.microsoft.com/office/infopath/2007/PartnerControls"/>
    </lcf76f155ced4ddcb4097134ff3c332f>
    <SharedWithUsers xmlns="7e8bd910-5bab-4a0a-912a-55a7569380cf">
      <UserInfo>
        <DisplayName/>
        <AccountId xsi:nil="true"/>
        <AccountType/>
      </UserInfo>
    </SharedWithUsers>
  </documentManagement>
</p:properties>
</file>

<file path=customXml/itemProps1.xml><?xml version="1.0" encoding="utf-8"?>
<ds:datastoreItem xmlns:ds="http://schemas.openxmlformats.org/officeDocument/2006/customXml" ds:itemID="{0E52FEBF-4D51-4455-BE59-F9AA4425AF39}"/>
</file>

<file path=customXml/itemProps2.xml><?xml version="1.0" encoding="utf-8"?>
<ds:datastoreItem xmlns:ds="http://schemas.openxmlformats.org/officeDocument/2006/customXml" ds:itemID="{CDCB32B6-A0EF-4D7F-A45A-A861AC3D4D46}">
  <ds:schemaRefs>
    <ds:schemaRef ds:uri="http://schemas.microsoft.com/sharepoint/v3/contenttype/forms"/>
  </ds:schemaRefs>
</ds:datastoreItem>
</file>

<file path=customXml/itemProps3.xml><?xml version="1.0" encoding="utf-8"?>
<ds:datastoreItem xmlns:ds="http://schemas.openxmlformats.org/officeDocument/2006/customXml" ds:itemID="{F1B461ED-707B-40A4-997A-CE1D4077320F}">
  <ds:schemaRefs>
    <ds:schemaRef ds:uri="http://schemas.openxmlformats.org/officeDocument/2006/bibliography"/>
  </ds:schemaRefs>
</ds:datastoreItem>
</file>

<file path=customXml/itemProps4.xml><?xml version="1.0" encoding="utf-8"?>
<ds:datastoreItem xmlns:ds="http://schemas.openxmlformats.org/officeDocument/2006/customXml" ds:itemID="{342840F2-0C51-4090-9E9B-A487233E0930}">
  <ds:schemaRefs>
    <ds:schemaRef ds:uri="http://schemas.microsoft.com/office/2006/metadata/properties"/>
    <ds:schemaRef ds:uri="http://schemas.microsoft.com/office/infopath/2007/PartnerControls"/>
    <ds:schemaRef ds:uri="33e243f7-2e34-4fb6-8470-e08397577425"/>
    <ds:schemaRef ds:uri="818419f6-c3d6-4d25-a652-7fe7413512a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1154</Words>
  <Characters>7237</Characters>
  <Application>Microsoft Office Word</Application>
  <DocSecurity>8</DocSecurity>
  <Lines>233</Lines>
  <Paragraphs>74</Paragraphs>
  <ScaleCrop>false</ScaleCrop>
  <HeadingPairs>
    <vt:vector size="2" baseType="variant">
      <vt:variant>
        <vt:lpstr>Titel</vt:lpstr>
      </vt:variant>
      <vt:variant>
        <vt:i4>1</vt:i4>
      </vt:variant>
    </vt:vector>
  </HeadingPairs>
  <TitlesOfParts>
    <vt:vector size="1" baseType="lpstr">
      <vt:lpstr>Musterformulierung: Besonderheiten der Prüfung nach § 19 Abs. 2 Satz 15 StromNEV i.V.m. § 30 Abs. 1 Nr. 7 KWKG 2016 der Jahresabrechnung über entgangene Netzentgelterlöse eines Netzbetreibers für das Kalenderjahr 2025 (IDW PH 9.970.30 (02.2026))</vt:lpstr>
    </vt:vector>
  </TitlesOfParts>
  <Company>IDW</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Musterformulierung: Besonderheiten der Prüfung nach § 19 Abs. 2 Satz 15 StromNEV i.V.m. § 30 Abs. 1 Nr. 7 KWKG 2016 der Jahresabrechnung über entgangene Netzentgelterlöse eines Netzbetreibers für das Kalenderjahr 2025 (IDW PH 9.970.30 (02.2026))</dc:title>
  <dc:subject>Musterformulierungen zum IDW Prüfungshinweis: Besonderheiten der Prüfung nach § 19 Abs. 2 Satz 15 StromNEV i.V.m. § 30 Abs. 1 Nr. 7 KWKG 2016 der Jahresabrechnung über entgangene Netzentgelterlöse eines Netzbetreibers für das Kalenderjahr 2023 (IDW PH 9.970.30 (03.2024)) (Stand: 18.03.2024)</dc:subject>
  <dc:creator>AK "Sonstige betriebswitschaftliche Prüfungen Energie";catherine@viehweger.net</dc:creator>
  <cp:keywords>entgangene Netzentgelterlöse | Netzbetreiber | Stromnetzentgeltverordnung | § 19 Abs. 2 Satz 15 StromNEV | Jahresabrechnung</cp:keywords>
  <dc:description>Stand: 18.02.2026</dc:description>
  <cp:lastModifiedBy>Viehweger, Catherine</cp:lastModifiedBy>
  <cp:revision>11</cp:revision>
  <cp:lastPrinted>2026-02-20T12:35:00Z</cp:lastPrinted>
  <dcterms:created xsi:type="dcterms:W3CDTF">2026-03-13T11:48:00Z</dcterms:created>
  <dcterms:modified xsi:type="dcterms:W3CDTF">2026-03-13T11:55:00Z</dcterms:modified>
  <cp:category>Musterformulierung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0x010100F0CE971C18F03A429D2F5B77133B5799</vt:lpwstr>
  </property>
  <property fmtid="{D5CDD505-2E9C-101B-9397-08002B2CF9AE}" pid="3" name="MediaServiceImageTags">
    <vt:lpwstr/>
  </property>
  <property fmtid="{D5CDD505-2E9C-101B-9397-08002B2CF9AE}" pid="4" name="Order">
    <vt:r8>277100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de</vt:lpwstr>
  </property>
</Properties>
</file>