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F8E744" w14:textId="77777777" w:rsidR="00004C3F" w:rsidRDefault="00004C3F" w:rsidP="00476F2C">
      <w:pPr>
        <w:pStyle w:val="Titel"/>
        <w:spacing w:after="0" w:line="400" w:lineRule="exact"/>
        <w:divId w:val="1932812704"/>
      </w:pPr>
      <w:r>
        <w:t xml:space="preserve">Auszug aus dem </w:t>
      </w:r>
      <w:r w:rsidR="006B0469">
        <w:t>IDW Prüfungshinweis:</w:t>
      </w:r>
      <w:r w:rsidR="006B0469">
        <w:br/>
      </w:r>
      <w:r w:rsidR="0012790D" w:rsidRPr="0012790D">
        <w:t xml:space="preserve">Besonderheiten der Prüfung nach § 55 Abs. 1 Satz 1 </w:t>
      </w:r>
      <w:proofErr w:type="spellStart"/>
      <w:r w:rsidR="0012790D" w:rsidRPr="0012790D">
        <w:t>EnFG</w:t>
      </w:r>
      <w:proofErr w:type="spellEnd"/>
      <w:r w:rsidR="0012790D" w:rsidRPr="0012790D">
        <w:t xml:space="preserve"> der zusammengefassten Endabrechnung eines Netzbetreibers </w:t>
      </w:r>
      <w:proofErr w:type="spellStart"/>
      <w:r w:rsidR="0012790D" w:rsidRPr="0012790D">
        <w:t>i.Z.m</w:t>
      </w:r>
      <w:proofErr w:type="spellEnd"/>
      <w:r w:rsidR="0012790D" w:rsidRPr="0012790D">
        <w:t>. dem Erneuerbare-Energien-Gesetz für das Kalenderjahr 2025</w:t>
      </w:r>
      <w:r w:rsidR="0012790D" w:rsidRPr="0012790D">
        <w:br/>
        <w:t>(IDW PH 9.970.21 (01.2026))</w:t>
      </w:r>
    </w:p>
    <w:p w14:paraId="6F4EAD4B" w14:textId="1A13889E" w:rsidR="006B0469" w:rsidRDefault="00476F2C" w:rsidP="00864E1C">
      <w:pPr>
        <w:spacing w:before="100" w:beforeAutospacing="1" w:after="100" w:afterAutospacing="1"/>
        <w:jc w:val="center"/>
        <w:divId w:val="1932812704"/>
        <w:rPr>
          <w:szCs w:val="22"/>
        </w:rPr>
      </w:pPr>
      <w:r w:rsidRPr="00864E1C">
        <w:rPr>
          <w:szCs w:val="22"/>
        </w:rPr>
        <w:t>(</w:t>
      </w:r>
      <w:r w:rsidR="006B0469" w:rsidRPr="00864E1C">
        <w:rPr>
          <w:szCs w:val="22"/>
        </w:rPr>
        <w:t xml:space="preserve">Stand: </w:t>
      </w:r>
      <w:r w:rsidR="008A198F" w:rsidRPr="00864E1C">
        <w:rPr>
          <w:szCs w:val="22"/>
        </w:rPr>
        <w:t>22</w:t>
      </w:r>
      <w:r w:rsidR="006B0469" w:rsidRPr="00864E1C">
        <w:rPr>
          <w:szCs w:val="22"/>
        </w:rPr>
        <w:t>.01.202</w:t>
      </w:r>
      <w:r w:rsidR="008A198F" w:rsidRPr="00864E1C">
        <w:rPr>
          <w:szCs w:val="22"/>
        </w:rPr>
        <w:t>6</w:t>
      </w:r>
      <w:r w:rsidR="00E26DCA" w:rsidRPr="00864E1C">
        <w:rPr>
          <w:szCs w:val="22"/>
        </w:rPr>
        <w:t>)</w:t>
      </w:r>
    </w:p>
    <w:p w14:paraId="38FCEDA7" w14:textId="71B6F556" w:rsidR="001635DF" w:rsidRDefault="001635DF" w:rsidP="001635DF">
      <w:pPr>
        <w:spacing w:before="100" w:beforeAutospacing="1" w:after="100" w:afterAutospacing="1"/>
        <w:jc w:val="left"/>
        <w:divId w:val="1932812704"/>
      </w:pPr>
      <w:r w:rsidRPr="00473C0D">
        <w:t xml:space="preserve">Im Folgenden wird das Muster für die zusammengefasste </w:t>
      </w:r>
      <w:r>
        <w:t>EEG-</w:t>
      </w:r>
      <w:r w:rsidRPr="00473C0D">
        <w:t xml:space="preserve">Endabrechnung </w:t>
      </w:r>
      <w:r>
        <w:t xml:space="preserve">eines Verteilernetzbetreibers </w:t>
      </w:r>
      <w:r w:rsidRPr="00473C0D">
        <w:t xml:space="preserve">nach </w:t>
      </w:r>
      <w:r w:rsidRPr="002C4C0D">
        <w:t xml:space="preserve">§ 50 Nr. 2 Buchst. a </w:t>
      </w:r>
      <w:r>
        <w:t xml:space="preserve">und c </w:t>
      </w:r>
      <w:proofErr w:type="spellStart"/>
      <w:r w:rsidRPr="002C4C0D">
        <w:t>EnFG</w:t>
      </w:r>
      <w:proofErr w:type="spellEnd"/>
      <w:r w:rsidRPr="002C4C0D">
        <w:t xml:space="preserve"> </w:t>
      </w:r>
      <w:r w:rsidRPr="00473C0D">
        <w:t xml:space="preserve">wiedergegeben, welches der Anlage 1 des </w:t>
      </w:r>
      <w:r w:rsidRPr="00473C0D">
        <w:rPr>
          <w:i/>
        </w:rPr>
        <w:t xml:space="preserve">IDW Prüfungshinweises: Besonderheiten der Prüfung nach </w:t>
      </w:r>
      <w:r w:rsidRPr="003B3253">
        <w:rPr>
          <w:i/>
        </w:rPr>
        <w:t xml:space="preserve">§ 55 Abs. 1 Satz 1 </w:t>
      </w:r>
      <w:proofErr w:type="spellStart"/>
      <w:r w:rsidRPr="003B3253">
        <w:rPr>
          <w:i/>
        </w:rPr>
        <w:t>EnFG</w:t>
      </w:r>
      <w:proofErr w:type="spellEnd"/>
      <w:r w:rsidRPr="003B3253">
        <w:rPr>
          <w:i/>
        </w:rPr>
        <w:t xml:space="preserve"> der zusammengefassten Endabrechnung eines Netzbetreibers </w:t>
      </w:r>
      <w:proofErr w:type="spellStart"/>
      <w:r w:rsidRPr="005C1C3E">
        <w:rPr>
          <w:i/>
        </w:rPr>
        <w:t>i.Z.m</w:t>
      </w:r>
      <w:proofErr w:type="spellEnd"/>
      <w:r w:rsidRPr="005C1C3E">
        <w:rPr>
          <w:i/>
        </w:rPr>
        <w:t xml:space="preserve">. dem Erneuerbare-Energien-Gesetz </w:t>
      </w:r>
      <w:r w:rsidRPr="003B3253">
        <w:rPr>
          <w:i/>
        </w:rPr>
        <w:t>für das Kalenderjahr 202</w:t>
      </w:r>
      <w:r w:rsidR="006110F6">
        <w:rPr>
          <w:i/>
        </w:rPr>
        <w:t>5</w:t>
      </w:r>
      <w:r w:rsidRPr="00473C0D">
        <w:rPr>
          <w:i/>
        </w:rPr>
        <w:t xml:space="preserve"> (IDW PH 9.970.</w:t>
      </w:r>
      <w:r>
        <w:rPr>
          <w:i/>
        </w:rPr>
        <w:t>2</w:t>
      </w:r>
      <w:r w:rsidRPr="00473C0D">
        <w:rPr>
          <w:i/>
        </w:rPr>
        <w:t>1 (0</w:t>
      </w:r>
      <w:r>
        <w:rPr>
          <w:i/>
        </w:rPr>
        <w:t>1</w:t>
      </w:r>
      <w:r w:rsidRPr="00473C0D">
        <w:rPr>
          <w:i/>
        </w:rPr>
        <w:t>.202</w:t>
      </w:r>
      <w:r w:rsidR="006110F6">
        <w:rPr>
          <w:i/>
        </w:rPr>
        <w:t>6</w:t>
      </w:r>
      <w:r w:rsidRPr="00473C0D">
        <w:rPr>
          <w:i/>
        </w:rPr>
        <w:t>))</w:t>
      </w:r>
      <w:r w:rsidRPr="00473C0D">
        <w:t xml:space="preserve"> (Stand: </w:t>
      </w:r>
      <w:r w:rsidR="006110F6">
        <w:t>22</w:t>
      </w:r>
      <w:r>
        <w:t>.01</w:t>
      </w:r>
      <w:r w:rsidRPr="00473C0D">
        <w:t>.202</w:t>
      </w:r>
      <w:r w:rsidR="006110F6">
        <w:t>6</w:t>
      </w:r>
      <w:r w:rsidRPr="00473C0D">
        <w:t xml:space="preserve">) entnommen wurde. </w:t>
      </w:r>
      <w:r w:rsidR="00D642AC">
        <w:t xml:space="preserve">Ferner wird die Anlage 3 des </w:t>
      </w:r>
      <w:r w:rsidR="00D642AC" w:rsidRPr="00473C0D">
        <w:rPr>
          <w:i/>
        </w:rPr>
        <w:t>IDW PH 9.970.</w:t>
      </w:r>
      <w:r w:rsidR="00D642AC">
        <w:rPr>
          <w:i/>
        </w:rPr>
        <w:t>2</w:t>
      </w:r>
      <w:r w:rsidR="00D642AC" w:rsidRPr="00473C0D">
        <w:rPr>
          <w:i/>
        </w:rPr>
        <w:t>1 (0</w:t>
      </w:r>
      <w:r w:rsidR="00D642AC">
        <w:rPr>
          <w:i/>
        </w:rPr>
        <w:t>1</w:t>
      </w:r>
      <w:r w:rsidR="00D642AC" w:rsidRPr="00473C0D">
        <w:rPr>
          <w:i/>
        </w:rPr>
        <w:t>.202</w:t>
      </w:r>
      <w:r w:rsidR="00D642AC">
        <w:rPr>
          <w:i/>
        </w:rPr>
        <w:t>6</w:t>
      </w:r>
      <w:r w:rsidR="00D642AC" w:rsidRPr="00473C0D">
        <w:rPr>
          <w:i/>
        </w:rPr>
        <w:t>)</w:t>
      </w:r>
      <w:r w:rsidR="00D642AC" w:rsidRPr="00D642AC">
        <w:rPr>
          <w:iCs/>
        </w:rPr>
        <w:t xml:space="preserve"> wiedergegeben. </w:t>
      </w:r>
      <w:r w:rsidR="00BC450B" w:rsidRPr="00BC450B">
        <w:rPr>
          <w:iCs/>
        </w:rPr>
        <w:t xml:space="preserve">Diese Datei kann zwar nicht verändert werden, aber die Textpassagen und Tabellen können in ein neues Dokument kopiert und dort bearbeitet werden. </w:t>
      </w:r>
      <w:r w:rsidRPr="00473C0D">
        <w:t xml:space="preserve">Der </w:t>
      </w:r>
      <w:r>
        <w:t>vollständige</w:t>
      </w:r>
      <w:r w:rsidRPr="00473C0D">
        <w:t xml:space="preserve"> </w:t>
      </w:r>
      <w:r w:rsidRPr="00473C0D">
        <w:rPr>
          <w:i/>
        </w:rPr>
        <w:t>IDW PH 9.970.</w:t>
      </w:r>
      <w:r>
        <w:rPr>
          <w:i/>
        </w:rPr>
        <w:t>2</w:t>
      </w:r>
      <w:r w:rsidRPr="00473C0D">
        <w:rPr>
          <w:i/>
        </w:rPr>
        <w:t>1 (0</w:t>
      </w:r>
      <w:r>
        <w:rPr>
          <w:i/>
        </w:rPr>
        <w:t>1</w:t>
      </w:r>
      <w:r w:rsidRPr="00473C0D">
        <w:rPr>
          <w:i/>
        </w:rPr>
        <w:t>.202</w:t>
      </w:r>
      <w:r w:rsidR="006110F6">
        <w:rPr>
          <w:i/>
        </w:rPr>
        <w:t>6</w:t>
      </w:r>
      <w:r w:rsidRPr="00473C0D">
        <w:rPr>
          <w:i/>
        </w:rPr>
        <w:t>)</w:t>
      </w:r>
      <w:r w:rsidRPr="00473C0D">
        <w:t xml:space="preserve"> wurde in der Zeitschrift IDW Life </w:t>
      </w:r>
      <w:r>
        <w:t>2</w:t>
      </w:r>
      <w:r w:rsidRPr="00473C0D">
        <w:t>/202</w:t>
      </w:r>
      <w:r w:rsidR="006110F6">
        <w:t>6</w:t>
      </w:r>
      <w:r w:rsidRPr="00473C0D">
        <w:t xml:space="preserve"> veröffentlicht oder kann über die IDW Verlag GmbH bezogen werden (</w:t>
      </w:r>
      <w:hyperlink r:id="rId12" w:history="1">
        <w:r w:rsidRPr="00473C0D">
          <w:rPr>
            <w:rStyle w:val="Hyperlink"/>
          </w:rPr>
          <w:t>www.idw.de/idw-verlag</w:t>
        </w:r>
      </w:hyperlink>
      <w:r w:rsidRPr="00473C0D">
        <w:t>).</w:t>
      </w:r>
    </w:p>
    <w:p w14:paraId="55688EED" w14:textId="77777777" w:rsidR="00196FA9" w:rsidRDefault="00196FA9" w:rsidP="001635DF">
      <w:pPr>
        <w:spacing w:before="100" w:beforeAutospacing="1" w:after="100" w:afterAutospacing="1"/>
        <w:jc w:val="left"/>
        <w:divId w:val="1932812704"/>
      </w:pPr>
    </w:p>
    <w:p w14:paraId="52D8D8AD" w14:textId="43BC9949" w:rsidR="00026C3F" w:rsidRPr="00CC196E" w:rsidRDefault="0013213A" w:rsidP="00B5779D">
      <w:pPr>
        <w:pStyle w:val="berschrift1"/>
        <w:ind w:left="1134" w:hanging="1134"/>
        <w:divId w:val="1932812704"/>
      </w:pPr>
      <w:bookmarkStart w:id="0" w:name="_Toc220070399"/>
      <w:bookmarkStart w:id="1" w:name="_Toc220073787"/>
      <w:r>
        <w:t>Anlage 1</w:t>
      </w:r>
      <w:r w:rsidR="00B5779D">
        <w:t>:</w:t>
      </w:r>
      <w:r w:rsidR="00B5779D">
        <w:tab/>
      </w:r>
      <w:r w:rsidR="00026C3F" w:rsidRPr="00CC196E">
        <w:t xml:space="preserve">Formulierungsvorschlag für den Prüfungsvermerk über die Prüfung nach § 55 Abs. 1 Satz 1 </w:t>
      </w:r>
      <w:proofErr w:type="spellStart"/>
      <w:r w:rsidR="00026C3F" w:rsidRPr="00CC196E">
        <w:t>EnFG</w:t>
      </w:r>
      <w:proofErr w:type="spellEnd"/>
      <w:r w:rsidR="00026C3F" w:rsidRPr="00CC196E">
        <w:t xml:space="preserve"> sowie Muster für die zusammengefasste EEG-Endabrechnung eines Verteilernetzbetreibers nach § 50 Nr. 2 Buchst. a und c </w:t>
      </w:r>
      <w:proofErr w:type="spellStart"/>
      <w:r w:rsidR="00026C3F" w:rsidRPr="00CC196E">
        <w:t>EnFG</w:t>
      </w:r>
      <w:bookmarkEnd w:id="0"/>
      <w:bookmarkEnd w:id="1"/>
      <w:proofErr w:type="spellEnd"/>
    </w:p>
    <w:p w14:paraId="52CB44FB" w14:textId="77777777" w:rsidR="0013213A" w:rsidRPr="0013213A" w:rsidRDefault="0013213A" w:rsidP="0013213A">
      <w:pPr>
        <w:spacing w:before="100" w:beforeAutospacing="1" w:after="100" w:afterAutospacing="1"/>
        <w:ind w:left="360"/>
        <w:divId w:val="1932812704"/>
        <w:rPr>
          <w:rFonts w:eastAsiaTheme="minorEastAsia"/>
        </w:rPr>
      </w:pPr>
      <w:r>
        <w:t>[…]</w:t>
      </w:r>
    </w:p>
    <w:p w14:paraId="7F551727" w14:textId="5FF7CF78" w:rsidR="00026C3F" w:rsidRDefault="00026C3F" w:rsidP="00B5779D">
      <w:pPr>
        <w:pStyle w:val="berschrift2"/>
        <w:ind w:left="0" w:firstLine="0"/>
        <w:divId w:val="1932812704"/>
      </w:pPr>
      <w:bookmarkStart w:id="2" w:name="_Toc220073789"/>
      <w:r>
        <w:t xml:space="preserve">Muster für die zusammengefasste EEG-Endabrechnung eines Verteilernetzbetreibers nach § 50 Nr. 2 Buchst. a und c </w:t>
      </w:r>
      <w:proofErr w:type="spellStart"/>
      <w:r>
        <w:t>EnFG</w:t>
      </w:r>
      <w:bookmarkEnd w:id="2"/>
      <w:proofErr w:type="spellEnd"/>
    </w:p>
    <w:p w14:paraId="7E66213C" w14:textId="77777777" w:rsidR="00026C3F" w:rsidRDefault="00026C3F" w:rsidP="00026C3F">
      <w:pPr>
        <w:spacing w:before="100" w:beforeAutospacing="1" w:after="100" w:afterAutospacing="1"/>
        <w:divId w:val="1932812704"/>
        <w:rPr>
          <w:rFonts w:eastAsiaTheme="minorEastAsia"/>
        </w:rPr>
      </w:pPr>
      <w:r>
        <w:t xml:space="preserve">Die zusammengefasste EEG-Endabrechnung nach § 50 Nr. 2 Buchst. a und c </w:t>
      </w:r>
      <w:proofErr w:type="spellStart"/>
      <w:r>
        <w:t>EnFG</w:t>
      </w:r>
      <w:proofErr w:type="spellEnd"/>
      <w:r>
        <w:t xml:space="preserve"> ist vom Verteilernetzbetreiber aufzustellen und könnte für das Kalenderjahr 2025 bspw. wie folgt gestaltet sein, sofern der Netzbetreiber nicht die für ihn vom ÜNB generierte Quittungsdatei als zusammengefasste EEG-Endabrechnung nutzt. Um klarzustellen, dass die Endabrechnung vom zu prüfenden Verteilernetzbetreiber aufgestellt wurde, ist der Name des Verteilernetzbetreibers im Titel der zusammengefassten EEG-Endabrechnung zu nennen; es kann hilfreich sein, wenn diese den Briefkopf des Verteilernetzbetreibers trägt und von der Gesellschaft </w:t>
      </w:r>
      <w:proofErr w:type="gramStart"/>
      <w:r>
        <w:t>unterzeichnet</w:t>
      </w:r>
      <w:proofErr w:type="gramEnd"/>
      <w:r>
        <w:t xml:space="preserve"> ist:</w:t>
      </w:r>
    </w:p>
    <w:p w14:paraId="2F15F48F" w14:textId="77777777" w:rsidR="00026C3F" w:rsidRPr="000A6593" w:rsidRDefault="00026C3F" w:rsidP="00026C3F">
      <w:pPr>
        <w:keepNext/>
        <w:spacing w:before="100" w:beforeAutospacing="1" w:after="100" w:afterAutospacing="1"/>
        <w:divId w:val="1932812704"/>
        <w:rPr>
          <w:caps/>
        </w:rPr>
      </w:pPr>
      <w:r w:rsidRPr="000A6593">
        <w:rPr>
          <w:b/>
          <w:bCs/>
          <w:caps/>
        </w:rPr>
        <w:lastRenderedPageBreak/>
        <w:t>Zusammengefasste Endabrechnung i.Z.m. dem Erneuerbare-Energien-Gesetz nach § 50 Nr. 2 BUchst. a und c EnFG der ... [</w:t>
      </w:r>
      <w:r w:rsidRPr="000A6593">
        <w:rPr>
          <w:b/>
          <w:bCs/>
          <w:i/>
          <w:iCs/>
          <w:caps/>
        </w:rPr>
        <w:t>Verteilernetzbetreiber</w:t>
      </w:r>
      <w:r w:rsidRPr="000A6593">
        <w:rPr>
          <w:b/>
          <w:bCs/>
          <w:caps/>
        </w:rPr>
        <w:t>] für das Kalenderjahr 2025</w:t>
      </w:r>
    </w:p>
    <w:p w14:paraId="7853CBDE" w14:textId="77777777" w:rsidR="00026C3F" w:rsidRDefault="00026C3F" w:rsidP="00026C3F">
      <w:pPr>
        <w:keepNext/>
        <w:spacing w:before="100" w:beforeAutospacing="1" w:after="100" w:afterAutospacing="1"/>
        <w:divId w:val="1932812704"/>
      </w:pPr>
      <w:r>
        <w:rPr>
          <w:b/>
          <w:bCs/>
        </w:rPr>
        <w:t>Einspeisevergütung</w:t>
      </w:r>
    </w:p>
    <w:p w14:paraId="41C0ED26" w14:textId="77777777" w:rsidR="00026C3F" w:rsidRDefault="00026C3F" w:rsidP="00026C3F">
      <w:pPr>
        <w:keepNext/>
        <w:spacing w:before="100" w:beforeAutospacing="1" w:after="100" w:afterAutospacing="1"/>
        <w:divId w:val="1932812704"/>
      </w:pPr>
      <w:r>
        <w:t>Die nachfolgende Tabelle gibt die von uns, der ... [</w:t>
      </w:r>
      <w:r>
        <w:rPr>
          <w:i/>
          <w:iCs/>
        </w:rPr>
        <w:t>Verteilernetzbetreiber</w:t>
      </w:r>
      <w:r>
        <w:t>],</w:t>
      </w:r>
    </w:p>
    <w:p w14:paraId="21569B0E" w14:textId="77777777" w:rsidR="00026C3F" w:rsidRDefault="00026C3F" w:rsidP="00026C3F">
      <w:pPr>
        <w:pStyle w:val="idwlistfree1"/>
        <w:divId w:val="1932812704"/>
      </w:pPr>
      <w:r>
        <w:t>●</w:t>
      </w:r>
      <w:r>
        <w:tab/>
        <w:t>nach § 11 Abs. 1 Satz 2 EEG 2023 kaufmännisch abgenommenen Strommengen (kaufmännisch abgenommene Strommengen) sowie</w:t>
      </w:r>
    </w:p>
    <w:p w14:paraId="1287302C" w14:textId="77777777" w:rsidR="00026C3F" w:rsidRDefault="00026C3F" w:rsidP="00026C3F">
      <w:pPr>
        <w:pStyle w:val="idwlistfree1"/>
        <w:divId w:val="1932812704"/>
      </w:pPr>
      <w:r>
        <w:t>●</w:t>
      </w:r>
      <w:r>
        <w:tab/>
        <w:t>für diese Strommengen nach § 19 Abs. 1 Nr. 2 EEG 2023 zu leistenden Zahlungen von Einspeisevergütungen</w:t>
      </w:r>
    </w:p>
    <w:p w14:paraId="674FB16B" w14:textId="77777777" w:rsidR="00026C3F" w:rsidRDefault="00026C3F" w:rsidP="00026C3F">
      <w:pPr>
        <w:spacing w:before="100" w:beforeAutospacing="1" w:after="100" w:afterAutospacing="1"/>
        <w:divId w:val="1932812704"/>
      </w:pPr>
      <w:r>
        <w:t>für den Zeitraum vom … [</w:t>
      </w:r>
      <w:r>
        <w:rPr>
          <w:i/>
          <w:iCs/>
        </w:rPr>
        <w:t>Datum 2025</w:t>
      </w:r>
      <w:r>
        <w:t>] bis … [</w:t>
      </w:r>
      <w:r>
        <w:rPr>
          <w:i/>
          <w:iCs/>
        </w:rPr>
        <w:t>Datum 2025</w:t>
      </w:r>
      <w:r>
        <w:t>] wieder. Ferner sind in der Tabelle die Angaben für Anlagen nach § 100 Abs. 1 Nr. 1 EEG 2023 enthalten, die vor dem 01.01.2023 in Betrieb genommen wurden:</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4103"/>
        <w:gridCol w:w="2126"/>
        <w:gridCol w:w="2257"/>
        <w:gridCol w:w="576"/>
      </w:tblGrid>
      <w:tr w:rsidR="00026C3F" w14:paraId="78CA8DD2" w14:textId="77777777" w:rsidTr="00026C3F">
        <w:trPr>
          <w:divId w:val="1932812704"/>
        </w:trPr>
        <w:tc>
          <w:tcPr>
            <w:tcW w:w="4103" w:type="dxa"/>
            <w:tcBorders>
              <w:top w:val="outset" w:sz="6" w:space="0" w:color="auto"/>
              <w:left w:val="outset" w:sz="6" w:space="0" w:color="auto"/>
              <w:bottom w:val="outset" w:sz="6" w:space="0" w:color="auto"/>
              <w:right w:val="outset" w:sz="6" w:space="0" w:color="auto"/>
            </w:tcBorders>
            <w:vAlign w:val="bottom"/>
            <w:hideMark/>
          </w:tcPr>
          <w:p w14:paraId="775640DE" w14:textId="77777777" w:rsidR="00026C3F" w:rsidRDefault="00026C3F" w:rsidP="00A62E6F">
            <w:pPr>
              <w:pStyle w:val="idwtababs"/>
              <w:jc w:val="center"/>
            </w:pPr>
            <w:r>
              <w:rPr>
                <w:b/>
                <w:bCs w:val="0"/>
              </w:rPr>
              <w:t>Energieträger</w:t>
            </w:r>
          </w:p>
        </w:tc>
        <w:tc>
          <w:tcPr>
            <w:tcW w:w="2126" w:type="dxa"/>
            <w:tcBorders>
              <w:top w:val="outset" w:sz="6" w:space="0" w:color="auto"/>
              <w:left w:val="outset" w:sz="6" w:space="0" w:color="auto"/>
              <w:bottom w:val="outset" w:sz="6" w:space="0" w:color="auto"/>
              <w:right w:val="outset" w:sz="6" w:space="0" w:color="auto"/>
            </w:tcBorders>
            <w:vAlign w:val="bottom"/>
            <w:hideMark/>
          </w:tcPr>
          <w:p w14:paraId="43036D2C" w14:textId="77777777" w:rsidR="00026C3F" w:rsidRDefault="00026C3F" w:rsidP="00A62E6F">
            <w:pPr>
              <w:pStyle w:val="idwtababs"/>
              <w:jc w:val="center"/>
            </w:pPr>
            <w:r>
              <w:rPr>
                <w:b/>
                <w:bCs w:val="0"/>
              </w:rPr>
              <w:t xml:space="preserve">kaufmännisch </w:t>
            </w:r>
            <w:r>
              <w:rPr>
                <w:b/>
                <w:bCs w:val="0"/>
              </w:rPr>
              <w:br/>
              <w:t xml:space="preserve">abgenommene Strommengen </w:t>
            </w:r>
            <w:r>
              <w:br/>
            </w:r>
            <w:r>
              <w:rPr>
                <w:b/>
                <w:bCs w:val="0"/>
              </w:rPr>
              <w:t>[kWh]</w:t>
            </w:r>
          </w:p>
        </w:tc>
        <w:tc>
          <w:tcPr>
            <w:tcW w:w="2257" w:type="dxa"/>
            <w:tcBorders>
              <w:top w:val="outset" w:sz="6" w:space="0" w:color="auto"/>
              <w:left w:val="outset" w:sz="6" w:space="0" w:color="auto"/>
              <w:bottom w:val="outset" w:sz="6" w:space="0" w:color="auto"/>
              <w:right w:val="single" w:sz="4" w:space="0" w:color="auto"/>
            </w:tcBorders>
            <w:vAlign w:val="bottom"/>
            <w:hideMark/>
          </w:tcPr>
          <w:p w14:paraId="758019CE" w14:textId="77777777" w:rsidR="00026C3F" w:rsidRDefault="00026C3F" w:rsidP="00A62E6F">
            <w:pPr>
              <w:pStyle w:val="idwtababs"/>
              <w:jc w:val="center"/>
            </w:pPr>
            <w:r>
              <w:rPr>
                <w:b/>
                <w:bCs w:val="0"/>
              </w:rPr>
              <w:t>Einspeisevergütung [EUR]</w:t>
            </w:r>
          </w:p>
        </w:tc>
        <w:tc>
          <w:tcPr>
            <w:tcW w:w="576" w:type="dxa"/>
            <w:tcBorders>
              <w:top w:val="nil"/>
              <w:left w:val="single" w:sz="4" w:space="0" w:color="auto"/>
              <w:bottom w:val="nil"/>
              <w:right w:val="nil"/>
            </w:tcBorders>
            <w:hideMark/>
          </w:tcPr>
          <w:p w14:paraId="4E6AF875" w14:textId="77777777" w:rsidR="00026C3F" w:rsidRDefault="00026C3F" w:rsidP="00A62E6F"/>
        </w:tc>
      </w:tr>
      <w:tr w:rsidR="00026C3F" w14:paraId="70EC6C8D" w14:textId="77777777" w:rsidTr="00026C3F">
        <w:trPr>
          <w:divId w:val="1932812704"/>
        </w:trPr>
        <w:tc>
          <w:tcPr>
            <w:tcW w:w="4103" w:type="dxa"/>
            <w:tcBorders>
              <w:top w:val="outset" w:sz="6" w:space="0" w:color="auto"/>
              <w:left w:val="outset" w:sz="6" w:space="0" w:color="auto"/>
              <w:bottom w:val="outset" w:sz="6" w:space="0" w:color="auto"/>
              <w:right w:val="outset" w:sz="6" w:space="0" w:color="auto"/>
            </w:tcBorders>
            <w:vAlign w:val="center"/>
            <w:hideMark/>
          </w:tcPr>
          <w:p w14:paraId="0DAFB205" w14:textId="77777777" w:rsidR="00026C3F" w:rsidRDefault="00026C3F" w:rsidP="00A62E6F">
            <w:pPr>
              <w:pStyle w:val="idwtababs"/>
              <w:rPr>
                <w:rFonts w:eastAsiaTheme="minorEastAsia"/>
                <w:sz w:val="24"/>
                <w:szCs w:val="24"/>
              </w:rPr>
            </w:pPr>
            <w:r>
              <w:t>Wasserkraft</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84D1FB1" w14:textId="77777777" w:rsidR="00026C3F" w:rsidRDefault="00026C3F" w:rsidP="00A62E6F">
            <w:pPr>
              <w:pStyle w:val="idwtababs"/>
            </w:pPr>
            <w:r>
              <w:t> </w:t>
            </w:r>
          </w:p>
        </w:tc>
        <w:tc>
          <w:tcPr>
            <w:tcW w:w="2257" w:type="dxa"/>
            <w:tcBorders>
              <w:top w:val="outset" w:sz="6" w:space="0" w:color="auto"/>
              <w:left w:val="outset" w:sz="6" w:space="0" w:color="auto"/>
              <w:bottom w:val="outset" w:sz="6" w:space="0" w:color="auto"/>
              <w:right w:val="single" w:sz="4" w:space="0" w:color="auto"/>
            </w:tcBorders>
            <w:hideMark/>
          </w:tcPr>
          <w:p w14:paraId="31C593C8" w14:textId="77777777" w:rsidR="00026C3F" w:rsidRDefault="00026C3F" w:rsidP="00A62E6F">
            <w:pPr>
              <w:pStyle w:val="idwtababs"/>
            </w:pPr>
            <w:r>
              <w:t> </w:t>
            </w:r>
          </w:p>
        </w:tc>
        <w:tc>
          <w:tcPr>
            <w:tcW w:w="576" w:type="dxa"/>
            <w:tcBorders>
              <w:top w:val="nil"/>
              <w:left w:val="single" w:sz="4" w:space="0" w:color="auto"/>
              <w:bottom w:val="nil"/>
              <w:right w:val="nil"/>
            </w:tcBorders>
            <w:hideMark/>
          </w:tcPr>
          <w:p w14:paraId="03C32844" w14:textId="77777777" w:rsidR="00026C3F" w:rsidRDefault="00026C3F" w:rsidP="00A62E6F"/>
        </w:tc>
      </w:tr>
      <w:tr w:rsidR="00026C3F" w14:paraId="2A3D8254" w14:textId="77777777" w:rsidTr="00026C3F">
        <w:trPr>
          <w:divId w:val="1932812704"/>
        </w:trPr>
        <w:tc>
          <w:tcPr>
            <w:tcW w:w="4103" w:type="dxa"/>
            <w:tcBorders>
              <w:top w:val="outset" w:sz="6" w:space="0" w:color="auto"/>
              <w:left w:val="outset" w:sz="6" w:space="0" w:color="auto"/>
              <w:bottom w:val="outset" w:sz="6" w:space="0" w:color="auto"/>
              <w:right w:val="outset" w:sz="6" w:space="0" w:color="auto"/>
            </w:tcBorders>
            <w:vAlign w:val="center"/>
            <w:hideMark/>
          </w:tcPr>
          <w:p w14:paraId="390D51BD" w14:textId="77777777" w:rsidR="00026C3F" w:rsidRDefault="00026C3F" w:rsidP="00A62E6F">
            <w:pPr>
              <w:pStyle w:val="idwtababs"/>
              <w:rPr>
                <w:rFonts w:eastAsiaTheme="minorEastAsia"/>
                <w:sz w:val="24"/>
                <w:szCs w:val="24"/>
              </w:rPr>
            </w:pPr>
            <w:r>
              <w:t>Deponie-, Klär-, Grubengas</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F058485" w14:textId="77777777" w:rsidR="00026C3F" w:rsidRDefault="00026C3F" w:rsidP="00A62E6F">
            <w:pPr>
              <w:pStyle w:val="idwtababs"/>
            </w:pPr>
            <w:r>
              <w:t> </w:t>
            </w:r>
          </w:p>
        </w:tc>
        <w:tc>
          <w:tcPr>
            <w:tcW w:w="2257" w:type="dxa"/>
            <w:tcBorders>
              <w:top w:val="outset" w:sz="6" w:space="0" w:color="auto"/>
              <w:left w:val="outset" w:sz="6" w:space="0" w:color="auto"/>
              <w:bottom w:val="outset" w:sz="6" w:space="0" w:color="auto"/>
              <w:right w:val="single" w:sz="4" w:space="0" w:color="auto"/>
            </w:tcBorders>
            <w:hideMark/>
          </w:tcPr>
          <w:p w14:paraId="21B9B963" w14:textId="77777777" w:rsidR="00026C3F" w:rsidRDefault="00026C3F" w:rsidP="00A62E6F">
            <w:pPr>
              <w:pStyle w:val="idwtababs"/>
            </w:pPr>
            <w:r>
              <w:t> </w:t>
            </w:r>
          </w:p>
        </w:tc>
        <w:tc>
          <w:tcPr>
            <w:tcW w:w="576" w:type="dxa"/>
            <w:tcBorders>
              <w:top w:val="nil"/>
              <w:left w:val="single" w:sz="4" w:space="0" w:color="auto"/>
              <w:bottom w:val="nil"/>
              <w:right w:val="nil"/>
            </w:tcBorders>
            <w:hideMark/>
          </w:tcPr>
          <w:p w14:paraId="6D09C0FC" w14:textId="77777777" w:rsidR="00026C3F" w:rsidRDefault="00026C3F" w:rsidP="00A62E6F"/>
        </w:tc>
      </w:tr>
      <w:tr w:rsidR="00026C3F" w14:paraId="11F8F689" w14:textId="77777777" w:rsidTr="00026C3F">
        <w:trPr>
          <w:divId w:val="1932812704"/>
        </w:trPr>
        <w:tc>
          <w:tcPr>
            <w:tcW w:w="4103" w:type="dxa"/>
            <w:tcBorders>
              <w:top w:val="outset" w:sz="6" w:space="0" w:color="auto"/>
              <w:left w:val="outset" w:sz="6" w:space="0" w:color="auto"/>
              <w:bottom w:val="outset" w:sz="6" w:space="0" w:color="auto"/>
              <w:right w:val="outset" w:sz="6" w:space="0" w:color="auto"/>
            </w:tcBorders>
            <w:vAlign w:val="center"/>
            <w:hideMark/>
          </w:tcPr>
          <w:p w14:paraId="14BD90E2" w14:textId="77777777" w:rsidR="00026C3F" w:rsidRDefault="00026C3F" w:rsidP="00A62E6F">
            <w:pPr>
              <w:pStyle w:val="idwtababs"/>
              <w:rPr>
                <w:rFonts w:eastAsiaTheme="minorEastAsia"/>
                <w:sz w:val="24"/>
                <w:szCs w:val="24"/>
              </w:rPr>
            </w:pPr>
            <w:r>
              <w:t>Biomasse</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76BE2B3" w14:textId="77777777" w:rsidR="00026C3F" w:rsidRDefault="00026C3F" w:rsidP="00A62E6F">
            <w:pPr>
              <w:pStyle w:val="idwtababs"/>
            </w:pPr>
            <w:r>
              <w:t> </w:t>
            </w:r>
          </w:p>
        </w:tc>
        <w:tc>
          <w:tcPr>
            <w:tcW w:w="2257" w:type="dxa"/>
            <w:tcBorders>
              <w:top w:val="outset" w:sz="6" w:space="0" w:color="auto"/>
              <w:left w:val="outset" w:sz="6" w:space="0" w:color="auto"/>
              <w:bottom w:val="outset" w:sz="6" w:space="0" w:color="auto"/>
              <w:right w:val="single" w:sz="4" w:space="0" w:color="auto"/>
            </w:tcBorders>
            <w:hideMark/>
          </w:tcPr>
          <w:p w14:paraId="10E4DA80" w14:textId="77777777" w:rsidR="00026C3F" w:rsidRDefault="00026C3F" w:rsidP="00A62E6F">
            <w:pPr>
              <w:pStyle w:val="idwtababs"/>
            </w:pPr>
            <w:r>
              <w:t> </w:t>
            </w:r>
          </w:p>
        </w:tc>
        <w:tc>
          <w:tcPr>
            <w:tcW w:w="576" w:type="dxa"/>
            <w:tcBorders>
              <w:top w:val="nil"/>
              <w:left w:val="single" w:sz="4" w:space="0" w:color="auto"/>
              <w:bottom w:val="nil"/>
              <w:right w:val="nil"/>
            </w:tcBorders>
            <w:hideMark/>
          </w:tcPr>
          <w:p w14:paraId="369F2270" w14:textId="77777777" w:rsidR="00026C3F" w:rsidRDefault="00026C3F" w:rsidP="00A62E6F"/>
        </w:tc>
      </w:tr>
      <w:tr w:rsidR="00026C3F" w14:paraId="251DF979" w14:textId="77777777" w:rsidTr="00026C3F">
        <w:trPr>
          <w:divId w:val="1932812704"/>
        </w:trPr>
        <w:tc>
          <w:tcPr>
            <w:tcW w:w="4103" w:type="dxa"/>
            <w:tcBorders>
              <w:top w:val="outset" w:sz="6" w:space="0" w:color="auto"/>
              <w:left w:val="outset" w:sz="6" w:space="0" w:color="auto"/>
              <w:bottom w:val="outset" w:sz="6" w:space="0" w:color="auto"/>
              <w:right w:val="outset" w:sz="6" w:space="0" w:color="auto"/>
            </w:tcBorders>
            <w:vAlign w:val="center"/>
            <w:hideMark/>
          </w:tcPr>
          <w:p w14:paraId="1716A310" w14:textId="77777777" w:rsidR="00026C3F" w:rsidRDefault="00026C3F" w:rsidP="00A62E6F">
            <w:pPr>
              <w:pStyle w:val="idwtababs"/>
              <w:rPr>
                <w:rFonts w:eastAsiaTheme="minorEastAsia"/>
                <w:sz w:val="24"/>
                <w:szCs w:val="24"/>
              </w:rPr>
            </w:pPr>
            <w:r>
              <w:t>Geothermie</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A7A669E" w14:textId="77777777" w:rsidR="00026C3F" w:rsidRDefault="00026C3F" w:rsidP="00A62E6F">
            <w:pPr>
              <w:pStyle w:val="idwtababs"/>
            </w:pPr>
            <w:r>
              <w:t> </w:t>
            </w:r>
          </w:p>
        </w:tc>
        <w:tc>
          <w:tcPr>
            <w:tcW w:w="2257" w:type="dxa"/>
            <w:tcBorders>
              <w:top w:val="outset" w:sz="6" w:space="0" w:color="auto"/>
              <w:left w:val="outset" w:sz="6" w:space="0" w:color="auto"/>
              <w:bottom w:val="outset" w:sz="6" w:space="0" w:color="auto"/>
              <w:right w:val="single" w:sz="4" w:space="0" w:color="auto"/>
            </w:tcBorders>
            <w:hideMark/>
          </w:tcPr>
          <w:p w14:paraId="24BF9204" w14:textId="77777777" w:rsidR="00026C3F" w:rsidRDefault="00026C3F" w:rsidP="00A62E6F">
            <w:pPr>
              <w:pStyle w:val="idwtababs"/>
            </w:pPr>
            <w:r>
              <w:t> </w:t>
            </w:r>
          </w:p>
        </w:tc>
        <w:tc>
          <w:tcPr>
            <w:tcW w:w="576" w:type="dxa"/>
            <w:tcBorders>
              <w:top w:val="nil"/>
              <w:left w:val="single" w:sz="4" w:space="0" w:color="auto"/>
              <w:bottom w:val="nil"/>
              <w:right w:val="nil"/>
            </w:tcBorders>
            <w:hideMark/>
          </w:tcPr>
          <w:p w14:paraId="64517C64" w14:textId="77777777" w:rsidR="00026C3F" w:rsidRDefault="00026C3F" w:rsidP="00A62E6F"/>
        </w:tc>
      </w:tr>
      <w:tr w:rsidR="00026C3F" w14:paraId="449332B7" w14:textId="77777777" w:rsidTr="00026C3F">
        <w:trPr>
          <w:divId w:val="1932812704"/>
        </w:trPr>
        <w:tc>
          <w:tcPr>
            <w:tcW w:w="4103" w:type="dxa"/>
            <w:tcBorders>
              <w:top w:val="outset" w:sz="6" w:space="0" w:color="auto"/>
              <w:left w:val="outset" w:sz="6" w:space="0" w:color="auto"/>
              <w:bottom w:val="outset" w:sz="6" w:space="0" w:color="auto"/>
              <w:right w:val="outset" w:sz="6" w:space="0" w:color="auto"/>
            </w:tcBorders>
            <w:vAlign w:val="center"/>
            <w:hideMark/>
          </w:tcPr>
          <w:p w14:paraId="09F85514" w14:textId="77777777" w:rsidR="00026C3F" w:rsidRDefault="00026C3F" w:rsidP="00A62E6F">
            <w:pPr>
              <w:pStyle w:val="idwtababs"/>
              <w:rPr>
                <w:rFonts w:eastAsiaTheme="minorEastAsia"/>
                <w:sz w:val="24"/>
                <w:szCs w:val="24"/>
              </w:rPr>
            </w:pPr>
            <w:r>
              <w:t>Windenergie an Land</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6E483A2" w14:textId="77777777" w:rsidR="00026C3F" w:rsidRDefault="00026C3F" w:rsidP="00A62E6F">
            <w:pPr>
              <w:pStyle w:val="idwtababs"/>
            </w:pPr>
            <w:r>
              <w:t> </w:t>
            </w:r>
          </w:p>
        </w:tc>
        <w:tc>
          <w:tcPr>
            <w:tcW w:w="2257" w:type="dxa"/>
            <w:tcBorders>
              <w:top w:val="outset" w:sz="6" w:space="0" w:color="auto"/>
              <w:left w:val="outset" w:sz="6" w:space="0" w:color="auto"/>
              <w:bottom w:val="outset" w:sz="6" w:space="0" w:color="auto"/>
              <w:right w:val="single" w:sz="4" w:space="0" w:color="auto"/>
            </w:tcBorders>
            <w:hideMark/>
          </w:tcPr>
          <w:p w14:paraId="579AAD80" w14:textId="77777777" w:rsidR="00026C3F" w:rsidRDefault="00026C3F" w:rsidP="00A62E6F">
            <w:pPr>
              <w:pStyle w:val="idwtababs"/>
            </w:pPr>
            <w:r>
              <w:t> </w:t>
            </w:r>
          </w:p>
        </w:tc>
        <w:tc>
          <w:tcPr>
            <w:tcW w:w="576" w:type="dxa"/>
            <w:tcBorders>
              <w:top w:val="nil"/>
              <w:left w:val="single" w:sz="4" w:space="0" w:color="auto"/>
              <w:bottom w:val="nil"/>
              <w:right w:val="nil"/>
            </w:tcBorders>
            <w:hideMark/>
          </w:tcPr>
          <w:p w14:paraId="63FEE48F" w14:textId="77777777" w:rsidR="00026C3F" w:rsidRDefault="00026C3F" w:rsidP="00A62E6F"/>
        </w:tc>
      </w:tr>
      <w:tr w:rsidR="00026C3F" w14:paraId="197D0076" w14:textId="77777777" w:rsidTr="00026C3F">
        <w:trPr>
          <w:divId w:val="1932812704"/>
        </w:trPr>
        <w:tc>
          <w:tcPr>
            <w:tcW w:w="4103" w:type="dxa"/>
            <w:tcBorders>
              <w:top w:val="outset" w:sz="6" w:space="0" w:color="auto"/>
              <w:left w:val="outset" w:sz="6" w:space="0" w:color="auto"/>
              <w:bottom w:val="outset" w:sz="6" w:space="0" w:color="auto"/>
              <w:right w:val="outset" w:sz="6" w:space="0" w:color="auto"/>
            </w:tcBorders>
            <w:vAlign w:val="center"/>
            <w:hideMark/>
          </w:tcPr>
          <w:p w14:paraId="5E0D7E7B" w14:textId="77777777" w:rsidR="00026C3F" w:rsidRDefault="00026C3F" w:rsidP="00A62E6F">
            <w:pPr>
              <w:pStyle w:val="idwtababs"/>
              <w:rPr>
                <w:rFonts w:eastAsiaTheme="minorEastAsia"/>
                <w:sz w:val="24"/>
                <w:szCs w:val="24"/>
              </w:rPr>
            </w:pPr>
            <w:r>
              <w:t>Windenergie auf See</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6BA1305" w14:textId="77777777" w:rsidR="00026C3F" w:rsidRDefault="00026C3F" w:rsidP="00A62E6F">
            <w:pPr>
              <w:pStyle w:val="idwtababs"/>
            </w:pPr>
            <w:r>
              <w:t> </w:t>
            </w:r>
          </w:p>
        </w:tc>
        <w:tc>
          <w:tcPr>
            <w:tcW w:w="2257" w:type="dxa"/>
            <w:tcBorders>
              <w:top w:val="outset" w:sz="6" w:space="0" w:color="auto"/>
              <w:left w:val="outset" w:sz="6" w:space="0" w:color="auto"/>
              <w:bottom w:val="outset" w:sz="6" w:space="0" w:color="auto"/>
              <w:right w:val="single" w:sz="4" w:space="0" w:color="auto"/>
            </w:tcBorders>
            <w:hideMark/>
          </w:tcPr>
          <w:p w14:paraId="6B787497" w14:textId="77777777" w:rsidR="00026C3F" w:rsidRDefault="00026C3F" w:rsidP="00A62E6F">
            <w:pPr>
              <w:pStyle w:val="idwtababs"/>
            </w:pPr>
            <w:r>
              <w:t> </w:t>
            </w:r>
          </w:p>
        </w:tc>
        <w:tc>
          <w:tcPr>
            <w:tcW w:w="576" w:type="dxa"/>
            <w:tcBorders>
              <w:top w:val="nil"/>
              <w:left w:val="single" w:sz="4" w:space="0" w:color="auto"/>
              <w:bottom w:val="nil"/>
              <w:right w:val="nil"/>
            </w:tcBorders>
            <w:hideMark/>
          </w:tcPr>
          <w:p w14:paraId="071DB387" w14:textId="77777777" w:rsidR="00026C3F" w:rsidRDefault="00026C3F" w:rsidP="00A62E6F"/>
        </w:tc>
      </w:tr>
      <w:tr w:rsidR="00026C3F" w14:paraId="18577F84" w14:textId="77777777" w:rsidTr="00026C3F">
        <w:trPr>
          <w:divId w:val="1932812704"/>
        </w:trPr>
        <w:tc>
          <w:tcPr>
            <w:tcW w:w="4103" w:type="dxa"/>
            <w:tcBorders>
              <w:top w:val="outset" w:sz="6" w:space="0" w:color="auto"/>
              <w:left w:val="outset" w:sz="6" w:space="0" w:color="auto"/>
              <w:bottom w:val="single" w:sz="4" w:space="0" w:color="auto"/>
              <w:right w:val="outset" w:sz="6" w:space="0" w:color="auto"/>
            </w:tcBorders>
            <w:vAlign w:val="center"/>
            <w:hideMark/>
          </w:tcPr>
          <w:p w14:paraId="6B876E1B" w14:textId="77777777" w:rsidR="00026C3F" w:rsidRDefault="00026C3F" w:rsidP="00A62E6F">
            <w:pPr>
              <w:pStyle w:val="idwtababs"/>
              <w:rPr>
                <w:rFonts w:eastAsiaTheme="minorEastAsia"/>
                <w:sz w:val="24"/>
                <w:szCs w:val="24"/>
              </w:rPr>
            </w:pPr>
            <w:r>
              <w:t>Solare Strahlungsenergie</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597E756" w14:textId="77777777" w:rsidR="00026C3F" w:rsidRDefault="00026C3F" w:rsidP="00A62E6F">
            <w:pPr>
              <w:pStyle w:val="idwtababs"/>
            </w:pPr>
            <w:r>
              <w:t> </w:t>
            </w:r>
          </w:p>
        </w:tc>
        <w:tc>
          <w:tcPr>
            <w:tcW w:w="2257" w:type="dxa"/>
            <w:tcBorders>
              <w:top w:val="outset" w:sz="6" w:space="0" w:color="auto"/>
              <w:left w:val="outset" w:sz="6" w:space="0" w:color="auto"/>
              <w:bottom w:val="outset" w:sz="6" w:space="0" w:color="auto"/>
              <w:right w:val="single" w:sz="4" w:space="0" w:color="auto"/>
            </w:tcBorders>
            <w:hideMark/>
          </w:tcPr>
          <w:p w14:paraId="6F92ACE0" w14:textId="77777777" w:rsidR="00026C3F" w:rsidRDefault="00026C3F" w:rsidP="00A62E6F">
            <w:pPr>
              <w:pStyle w:val="idwtababs"/>
            </w:pPr>
            <w:r>
              <w:t> </w:t>
            </w:r>
          </w:p>
        </w:tc>
        <w:tc>
          <w:tcPr>
            <w:tcW w:w="576" w:type="dxa"/>
            <w:tcBorders>
              <w:top w:val="nil"/>
              <w:left w:val="single" w:sz="4" w:space="0" w:color="auto"/>
              <w:bottom w:val="nil"/>
              <w:right w:val="nil"/>
            </w:tcBorders>
            <w:hideMark/>
          </w:tcPr>
          <w:p w14:paraId="68FEF706" w14:textId="77777777" w:rsidR="00026C3F" w:rsidRDefault="00026C3F" w:rsidP="00A62E6F"/>
        </w:tc>
      </w:tr>
      <w:tr w:rsidR="00762983" w14:paraId="6D549CE9" w14:textId="77777777" w:rsidTr="00026C3F">
        <w:trPr>
          <w:divId w:val="1932812704"/>
        </w:trPr>
        <w:tc>
          <w:tcPr>
            <w:tcW w:w="4103" w:type="dxa"/>
            <w:tcBorders>
              <w:top w:val="single" w:sz="4" w:space="0" w:color="auto"/>
              <w:left w:val="nil"/>
              <w:bottom w:val="nil"/>
              <w:right w:val="single" w:sz="4" w:space="0" w:color="auto"/>
            </w:tcBorders>
            <w:vAlign w:val="bottom"/>
            <w:hideMark/>
          </w:tcPr>
          <w:p w14:paraId="6FC3B8BA" w14:textId="77777777" w:rsidR="00026C3F" w:rsidRDefault="00026C3F" w:rsidP="00A62E6F">
            <w:pPr>
              <w:pStyle w:val="idwtababs"/>
              <w:rPr>
                <w:rFonts w:eastAsiaTheme="minorEastAsia"/>
                <w:sz w:val="24"/>
                <w:szCs w:val="24"/>
              </w:rPr>
            </w:pPr>
            <w:r>
              <w:rPr>
                <w:b/>
                <w:bCs w:val="0"/>
              </w:rPr>
              <w:t>Summe:</w:t>
            </w:r>
          </w:p>
        </w:tc>
        <w:tc>
          <w:tcPr>
            <w:tcW w:w="2126" w:type="dxa"/>
            <w:tcBorders>
              <w:top w:val="outset" w:sz="6" w:space="0" w:color="auto"/>
              <w:left w:val="single" w:sz="4" w:space="0" w:color="auto"/>
              <w:bottom w:val="outset" w:sz="6" w:space="0" w:color="auto"/>
              <w:right w:val="outset" w:sz="6" w:space="0" w:color="auto"/>
            </w:tcBorders>
            <w:vAlign w:val="bottom"/>
            <w:hideMark/>
          </w:tcPr>
          <w:p w14:paraId="4292A63D" w14:textId="77777777" w:rsidR="00026C3F" w:rsidRDefault="00026C3F" w:rsidP="00A62E6F">
            <w:pPr>
              <w:pStyle w:val="idwtababs"/>
            </w:pPr>
            <w:r>
              <w:t> </w:t>
            </w:r>
          </w:p>
        </w:tc>
        <w:tc>
          <w:tcPr>
            <w:tcW w:w="2257" w:type="dxa"/>
            <w:tcBorders>
              <w:top w:val="outset" w:sz="6" w:space="0" w:color="auto"/>
              <w:left w:val="outset" w:sz="6" w:space="0" w:color="auto"/>
              <w:bottom w:val="outset" w:sz="6" w:space="0" w:color="auto"/>
              <w:right w:val="single" w:sz="4" w:space="0" w:color="auto"/>
            </w:tcBorders>
            <w:hideMark/>
          </w:tcPr>
          <w:p w14:paraId="0F0056F1" w14:textId="77777777" w:rsidR="00026C3F" w:rsidRDefault="00026C3F" w:rsidP="00A62E6F">
            <w:pPr>
              <w:pStyle w:val="idwtababs"/>
            </w:pPr>
            <w:r>
              <w:t> </w:t>
            </w:r>
          </w:p>
        </w:tc>
        <w:tc>
          <w:tcPr>
            <w:tcW w:w="576" w:type="dxa"/>
            <w:tcBorders>
              <w:top w:val="nil"/>
              <w:left w:val="single" w:sz="4" w:space="0" w:color="auto"/>
              <w:bottom w:val="nil"/>
              <w:right w:val="nil"/>
            </w:tcBorders>
            <w:hideMark/>
          </w:tcPr>
          <w:p w14:paraId="1B141ACB" w14:textId="77777777" w:rsidR="00026C3F" w:rsidRDefault="00026C3F" w:rsidP="00A62E6F">
            <w:pPr>
              <w:pStyle w:val="idwtababs"/>
            </w:pPr>
            <w:r>
              <w:rPr>
                <w:b/>
                <w:bCs w:val="0"/>
              </w:rPr>
              <w:t>(1)</w:t>
            </w:r>
          </w:p>
        </w:tc>
      </w:tr>
    </w:tbl>
    <w:p w14:paraId="62147534" w14:textId="77777777" w:rsidR="00026C3F" w:rsidRDefault="00026C3F" w:rsidP="00026C3F">
      <w:pPr>
        <w:spacing w:before="100" w:beforeAutospacing="1" w:after="100" w:afterAutospacing="1"/>
        <w:divId w:val="1932812704"/>
        <w:rPr>
          <w:rFonts w:eastAsiaTheme="minorEastAsia"/>
        </w:rPr>
      </w:pPr>
      <w:r>
        <w:t>Die oben unter dem Energieträger „Solare Strahlungsenergie“ ausgewiesenen Vergütungen beinhalten auch die Vergütungen für selbst verbrauchten Solarstrom i.S. des § 33 Abs. 2 des Erneuerbare-Energien-Gesetzes in der am 31.03.2012 geltenden Fassung.</w:t>
      </w:r>
    </w:p>
    <w:p w14:paraId="45E12EB9" w14:textId="77777777" w:rsidR="00026C3F" w:rsidRDefault="00026C3F" w:rsidP="00026C3F">
      <w:pPr>
        <w:keepNext/>
        <w:spacing w:before="100" w:beforeAutospacing="1" w:after="100" w:afterAutospacing="1"/>
        <w:divId w:val="1932812704"/>
      </w:pPr>
      <w:r>
        <w:rPr>
          <w:b/>
          <w:bCs/>
        </w:rPr>
        <w:lastRenderedPageBreak/>
        <w:t>Direktvermarktung</w:t>
      </w:r>
    </w:p>
    <w:p w14:paraId="6ACA3916" w14:textId="77777777" w:rsidR="00026C3F" w:rsidRDefault="00026C3F" w:rsidP="00026C3F">
      <w:pPr>
        <w:spacing w:before="100" w:beforeAutospacing="1" w:after="100" w:afterAutospacing="1"/>
        <w:divId w:val="1932812704"/>
      </w:pPr>
      <w:r>
        <w:t>Die nachfolgende Tabelle gibt</w:t>
      </w:r>
    </w:p>
    <w:p w14:paraId="6AFCDE93" w14:textId="77777777" w:rsidR="00026C3F" w:rsidRDefault="00026C3F" w:rsidP="00026C3F">
      <w:pPr>
        <w:pStyle w:val="idwlistfree1"/>
        <w:divId w:val="1932812704"/>
      </w:pPr>
      <w:r>
        <w:t>●</w:t>
      </w:r>
      <w:r>
        <w:tab/>
        <w:t>die von uns nach § 19 Abs. 1 Nr. 1 EEG 2023 zu leistenden Zahlungen von Marktprämien,</w:t>
      </w:r>
    </w:p>
    <w:p w14:paraId="01F3A8AA" w14:textId="77777777" w:rsidR="00026C3F" w:rsidRDefault="00026C3F" w:rsidP="00026C3F">
      <w:pPr>
        <w:pStyle w:val="idwlistfree1"/>
        <w:divId w:val="1932812704"/>
      </w:pPr>
      <w:r>
        <w:t>●</w:t>
      </w:r>
      <w:r>
        <w:tab/>
        <w:t>die nach § 21b Abs. 1 Satz 1 Nr. 1 EEG 2023 direkt vermarkteten Strommengen (Marktprämienmodell) sowie</w:t>
      </w:r>
    </w:p>
    <w:p w14:paraId="7B9A2D96" w14:textId="77777777" w:rsidR="00026C3F" w:rsidRDefault="00026C3F" w:rsidP="00026C3F">
      <w:pPr>
        <w:pStyle w:val="idwlistfree1"/>
        <w:divId w:val="1932812704"/>
      </w:pPr>
      <w:r>
        <w:t>●</w:t>
      </w:r>
      <w:r>
        <w:tab/>
        <w:t>die nach § 21b Abs. 1 Satz 1 Nr. 4 EEG 2023 direkt vermarkteten Strommengen (sonstige Direktvermarktung)</w:t>
      </w:r>
    </w:p>
    <w:p w14:paraId="64D3DDA9" w14:textId="77777777" w:rsidR="00026C3F" w:rsidRDefault="00026C3F" w:rsidP="00026C3F">
      <w:pPr>
        <w:spacing w:before="100" w:beforeAutospacing="1" w:after="100" w:afterAutospacing="1"/>
        <w:divId w:val="1932812704"/>
      </w:pPr>
      <w:r>
        <w:t>für den Zeitraum vom … [</w:t>
      </w:r>
      <w:r>
        <w:rPr>
          <w:i/>
          <w:iCs/>
        </w:rPr>
        <w:t>Datum 2025</w:t>
      </w:r>
      <w:r>
        <w:t>] bis … [</w:t>
      </w:r>
      <w:r>
        <w:rPr>
          <w:i/>
          <w:iCs/>
        </w:rPr>
        <w:t>Datum 2025</w:t>
      </w:r>
      <w:r>
        <w:t>] wieder. Ferner sind in der Tabelle die Angaben für Anlagen nach § 100 Abs. 1 Nr. 1 EEG 2023 enthalten, die vor dem 01.01.2023 in Betrieb genommen wurden:</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2392"/>
        <w:gridCol w:w="1853"/>
        <w:gridCol w:w="336"/>
        <w:gridCol w:w="1973"/>
        <w:gridCol w:w="2500"/>
      </w:tblGrid>
      <w:tr w:rsidR="00026C3F" w14:paraId="708D8900" w14:textId="77777777" w:rsidTr="00026C3F">
        <w:trPr>
          <w:divId w:val="1932812704"/>
        </w:trPr>
        <w:tc>
          <w:tcPr>
            <w:tcW w:w="2392" w:type="dxa"/>
            <w:vMerge w:val="restart"/>
            <w:tcBorders>
              <w:top w:val="outset" w:sz="6" w:space="0" w:color="auto"/>
              <w:left w:val="outset" w:sz="6" w:space="0" w:color="auto"/>
              <w:bottom w:val="outset" w:sz="6" w:space="0" w:color="auto"/>
              <w:right w:val="outset" w:sz="6" w:space="0" w:color="auto"/>
            </w:tcBorders>
            <w:vAlign w:val="bottom"/>
            <w:hideMark/>
          </w:tcPr>
          <w:p w14:paraId="2EEB8B37" w14:textId="77777777" w:rsidR="00026C3F" w:rsidRDefault="00026C3F" w:rsidP="00A62E6F">
            <w:pPr>
              <w:pStyle w:val="idwtababs"/>
              <w:jc w:val="center"/>
            </w:pPr>
            <w:r>
              <w:rPr>
                <w:b/>
                <w:bCs w:val="0"/>
              </w:rPr>
              <w:t>Energieträger</w:t>
            </w:r>
          </w:p>
        </w:tc>
        <w:tc>
          <w:tcPr>
            <w:tcW w:w="1853" w:type="dxa"/>
            <w:vMerge w:val="restart"/>
            <w:tcBorders>
              <w:top w:val="outset" w:sz="6" w:space="0" w:color="auto"/>
              <w:left w:val="outset" w:sz="6" w:space="0" w:color="auto"/>
              <w:bottom w:val="outset" w:sz="6" w:space="0" w:color="auto"/>
              <w:right w:val="single" w:sz="4" w:space="0" w:color="auto"/>
            </w:tcBorders>
            <w:vAlign w:val="bottom"/>
            <w:hideMark/>
          </w:tcPr>
          <w:p w14:paraId="1D488943" w14:textId="77777777" w:rsidR="00026C3F" w:rsidRDefault="00026C3F" w:rsidP="00A62E6F">
            <w:pPr>
              <w:pStyle w:val="idwtababs"/>
              <w:jc w:val="center"/>
            </w:pPr>
            <w:r>
              <w:rPr>
                <w:b/>
                <w:bCs w:val="0"/>
              </w:rPr>
              <w:t>Marktprämie [EUR]</w:t>
            </w:r>
          </w:p>
        </w:tc>
        <w:tc>
          <w:tcPr>
            <w:tcW w:w="336" w:type="dxa"/>
            <w:tcBorders>
              <w:top w:val="nil"/>
              <w:left w:val="single" w:sz="4" w:space="0" w:color="auto"/>
              <w:bottom w:val="nil"/>
              <w:right w:val="single" w:sz="4" w:space="0" w:color="auto"/>
            </w:tcBorders>
            <w:hideMark/>
          </w:tcPr>
          <w:p w14:paraId="02C67F5F" w14:textId="77777777" w:rsidR="00026C3F" w:rsidRDefault="00026C3F" w:rsidP="00A62E6F">
            <w:pPr>
              <w:jc w:val="center"/>
            </w:pPr>
          </w:p>
        </w:tc>
        <w:tc>
          <w:tcPr>
            <w:tcW w:w="4473" w:type="dxa"/>
            <w:gridSpan w:val="2"/>
            <w:tcBorders>
              <w:top w:val="outset" w:sz="6" w:space="0" w:color="auto"/>
              <w:left w:val="single" w:sz="4" w:space="0" w:color="auto"/>
              <w:bottom w:val="outset" w:sz="6" w:space="0" w:color="auto"/>
              <w:right w:val="outset" w:sz="6" w:space="0" w:color="auto"/>
            </w:tcBorders>
            <w:vAlign w:val="bottom"/>
            <w:hideMark/>
          </w:tcPr>
          <w:p w14:paraId="1411238D" w14:textId="77777777" w:rsidR="00026C3F" w:rsidRDefault="00026C3F" w:rsidP="00A62E6F">
            <w:pPr>
              <w:pStyle w:val="idwtababs"/>
              <w:jc w:val="center"/>
              <w:rPr>
                <w:rFonts w:eastAsiaTheme="minorEastAsia"/>
                <w:sz w:val="24"/>
                <w:szCs w:val="24"/>
              </w:rPr>
            </w:pPr>
            <w:r>
              <w:rPr>
                <w:b/>
                <w:bCs w:val="0"/>
              </w:rPr>
              <w:t>Strommengen</w:t>
            </w:r>
          </w:p>
        </w:tc>
      </w:tr>
      <w:tr w:rsidR="00026C3F" w14:paraId="43DCBDD9" w14:textId="77777777" w:rsidTr="00026C3F">
        <w:trPr>
          <w:divId w:val="1932812704"/>
        </w:trPr>
        <w:tc>
          <w:tcPr>
            <w:tcW w:w="2392" w:type="dxa"/>
            <w:vMerge/>
            <w:tcBorders>
              <w:top w:val="outset" w:sz="6" w:space="0" w:color="auto"/>
              <w:left w:val="outset" w:sz="6" w:space="0" w:color="auto"/>
              <w:bottom w:val="outset" w:sz="6" w:space="0" w:color="auto"/>
              <w:right w:val="outset" w:sz="6" w:space="0" w:color="auto"/>
            </w:tcBorders>
            <w:vAlign w:val="center"/>
            <w:hideMark/>
          </w:tcPr>
          <w:p w14:paraId="00CDBF5D" w14:textId="77777777" w:rsidR="00026C3F" w:rsidRDefault="00026C3F" w:rsidP="00A62E6F">
            <w:pPr>
              <w:jc w:val="center"/>
              <w:rPr>
                <w:rFonts w:eastAsiaTheme="minorEastAsia"/>
                <w:sz w:val="24"/>
                <w:szCs w:val="24"/>
              </w:rPr>
            </w:pPr>
          </w:p>
        </w:tc>
        <w:tc>
          <w:tcPr>
            <w:tcW w:w="1853" w:type="dxa"/>
            <w:vMerge/>
            <w:tcBorders>
              <w:top w:val="outset" w:sz="6" w:space="0" w:color="auto"/>
              <w:left w:val="outset" w:sz="6" w:space="0" w:color="auto"/>
              <w:bottom w:val="outset" w:sz="6" w:space="0" w:color="auto"/>
              <w:right w:val="single" w:sz="4" w:space="0" w:color="auto"/>
            </w:tcBorders>
            <w:vAlign w:val="center"/>
            <w:hideMark/>
          </w:tcPr>
          <w:p w14:paraId="7032F7B9" w14:textId="77777777" w:rsidR="00026C3F" w:rsidRDefault="00026C3F" w:rsidP="00A62E6F">
            <w:pPr>
              <w:jc w:val="center"/>
              <w:rPr>
                <w:rFonts w:eastAsiaTheme="minorEastAsia"/>
                <w:sz w:val="24"/>
                <w:szCs w:val="24"/>
              </w:rPr>
            </w:pPr>
          </w:p>
        </w:tc>
        <w:tc>
          <w:tcPr>
            <w:tcW w:w="336" w:type="dxa"/>
            <w:tcBorders>
              <w:top w:val="nil"/>
              <w:left w:val="single" w:sz="4" w:space="0" w:color="auto"/>
              <w:bottom w:val="nil"/>
              <w:right w:val="single" w:sz="4" w:space="0" w:color="auto"/>
            </w:tcBorders>
            <w:hideMark/>
          </w:tcPr>
          <w:p w14:paraId="6E566319" w14:textId="77777777" w:rsidR="00026C3F" w:rsidRDefault="00026C3F" w:rsidP="00A62E6F">
            <w:pPr>
              <w:jc w:val="center"/>
            </w:pPr>
          </w:p>
        </w:tc>
        <w:tc>
          <w:tcPr>
            <w:tcW w:w="1973" w:type="dxa"/>
            <w:tcBorders>
              <w:top w:val="outset" w:sz="6" w:space="0" w:color="auto"/>
              <w:left w:val="single" w:sz="4" w:space="0" w:color="auto"/>
              <w:bottom w:val="outset" w:sz="6" w:space="0" w:color="auto"/>
              <w:right w:val="outset" w:sz="6" w:space="0" w:color="auto"/>
            </w:tcBorders>
            <w:vAlign w:val="bottom"/>
            <w:hideMark/>
          </w:tcPr>
          <w:p w14:paraId="0324BB3C" w14:textId="77777777" w:rsidR="00026C3F" w:rsidRDefault="00026C3F" w:rsidP="00A62E6F">
            <w:pPr>
              <w:pStyle w:val="idwtababs"/>
              <w:jc w:val="center"/>
              <w:rPr>
                <w:rFonts w:eastAsiaTheme="minorEastAsia"/>
                <w:sz w:val="24"/>
                <w:szCs w:val="24"/>
              </w:rPr>
            </w:pPr>
            <w:r>
              <w:rPr>
                <w:b/>
                <w:bCs w:val="0"/>
              </w:rPr>
              <w:t xml:space="preserve">Marktprämienmodell </w:t>
            </w:r>
            <w:r>
              <w:br/>
            </w:r>
            <w:r>
              <w:rPr>
                <w:b/>
                <w:bCs w:val="0"/>
              </w:rPr>
              <w:t>[kWh]</w:t>
            </w:r>
          </w:p>
        </w:tc>
        <w:tc>
          <w:tcPr>
            <w:tcW w:w="2500" w:type="dxa"/>
            <w:tcBorders>
              <w:top w:val="outset" w:sz="6" w:space="0" w:color="auto"/>
              <w:left w:val="outset" w:sz="6" w:space="0" w:color="auto"/>
              <w:bottom w:val="outset" w:sz="6" w:space="0" w:color="auto"/>
              <w:right w:val="outset" w:sz="6" w:space="0" w:color="auto"/>
            </w:tcBorders>
            <w:vAlign w:val="bottom"/>
            <w:hideMark/>
          </w:tcPr>
          <w:p w14:paraId="332F97BB" w14:textId="77777777" w:rsidR="00026C3F" w:rsidRDefault="00026C3F" w:rsidP="00A62E6F">
            <w:pPr>
              <w:pStyle w:val="idwtababs"/>
              <w:jc w:val="center"/>
            </w:pPr>
            <w:r>
              <w:rPr>
                <w:b/>
                <w:bCs w:val="0"/>
              </w:rPr>
              <w:t xml:space="preserve">sonstige Direktvermarktung </w:t>
            </w:r>
            <w:r>
              <w:br/>
            </w:r>
            <w:r>
              <w:rPr>
                <w:b/>
                <w:bCs w:val="0"/>
              </w:rPr>
              <w:t>[kWh]</w:t>
            </w:r>
          </w:p>
        </w:tc>
      </w:tr>
      <w:tr w:rsidR="00026C3F" w14:paraId="7DF52830" w14:textId="77777777" w:rsidTr="00026C3F">
        <w:trPr>
          <w:divId w:val="1932812704"/>
        </w:trPr>
        <w:tc>
          <w:tcPr>
            <w:tcW w:w="2392" w:type="dxa"/>
            <w:tcBorders>
              <w:top w:val="outset" w:sz="6" w:space="0" w:color="auto"/>
              <w:left w:val="outset" w:sz="6" w:space="0" w:color="auto"/>
              <w:bottom w:val="outset" w:sz="6" w:space="0" w:color="auto"/>
              <w:right w:val="outset" w:sz="6" w:space="0" w:color="auto"/>
            </w:tcBorders>
            <w:vAlign w:val="center"/>
            <w:hideMark/>
          </w:tcPr>
          <w:p w14:paraId="066C014E" w14:textId="77777777" w:rsidR="00026C3F" w:rsidRDefault="00026C3F" w:rsidP="00A62E6F">
            <w:pPr>
              <w:pStyle w:val="idwtababs"/>
            </w:pPr>
            <w:r>
              <w:t>Wasserkraft</w:t>
            </w:r>
          </w:p>
        </w:tc>
        <w:tc>
          <w:tcPr>
            <w:tcW w:w="1853" w:type="dxa"/>
            <w:tcBorders>
              <w:top w:val="outset" w:sz="6" w:space="0" w:color="auto"/>
              <w:left w:val="outset" w:sz="6" w:space="0" w:color="auto"/>
              <w:bottom w:val="outset" w:sz="6" w:space="0" w:color="auto"/>
              <w:right w:val="single" w:sz="4" w:space="0" w:color="auto"/>
            </w:tcBorders>
            <w:hideMark/>
          </w:tcPr>
          <w:p w14:paraId="787ACE25" w14:textId="77777777" w:rsidR="00026C3F" w:rsidRDefault="00026C3F" w:rsidP="00A62E6F">
            <w:pPr>
              <w:pStyle w:val="idwtababs"/>
            </w:pPr>
            <w:r>
              <w:t> </w:t>
            </w:r>
          </w:p>
        </w:tc>
        <w:tc>
          <w:tcPr>
            <w:tcW w:w="336" w:type="dxa"/>
            <w:tcBorders>
              <w:top w:val="nil"/>
              <w:left w:val="single" w:sz="4" w:space="0" w:color="auto"/>
              <w:bottom w:val="nil"/>
              <w:right w:val="single" w:sz="4" w:space="0" w:color="auto"/>
            </w:tcBorders>
            <w:hideMark/>
          </w:tcPr>
          <w:p w14:paraId="1A436638" w14:textId="77777777" w:rsidR="00026C3F" w:rsidRDefault="00026C3F" w:rsidP="00A62E6F"/>
        </w:tc>
        <w:tc>
          <w:tcPr>
            <w:tcW w:w="1973" w:type="dxa"/>
            <w:tcBorders>
              <w:top w:val="outset" w:sz="6" w:space="0" w:color="auto"/>
              <w:left w:val="single" w:sz="4" w:space="0" w:color="auto"/>
              <w:bottom w:val="outset" w:sz="6" w:space="0" w:color="auto"/>
              <w:right w:val="outset" w:sz="6" w:space="0" w:color="auto"/>
            </w:tcBorders>
            <w:hideMark/>
          </w:tcPr>
          <w:p w14:paraId="26B520BA" w14:textId="77777777" w:rsidR="00026C3F" w:rsidRDefault="00026C3F" w:rsidP="00A62E6F">
            <w:pPr>
              <w:pStyle w:val="idwtababs"/>
              <w:rPr>
                <w:rFonts w:eastAsiaTheme="minorEastAsia"/>
                <w:sz w:val="24"/>
                <w:szCs w:val="24"/>
              </w:rPr>
            </w:pPr>
            <w:r>
              <w:t> </w:t>
            </w:r>
          </w:p>
        </w:tc>
        <w:tc>
          <w:tcPr>
            <w:tcW w:w="2500" w:type="dxa"/>
            <w:tcBorders>
              <w:top w:val="outset" w:sz="6" w:space="0" w:color="auto"/>
              <w:left w:val="outset" w:sz="6" w:space="0" w:color="auto"/>
              <w:bottom w:val="outset" w:sz="6" w:space="0" w:color="auto"/>
              <w:right w:val="outset" w:sz="6" w:space="0" w:color="auto"/>
            </w:tcBorders>
            <w:hideMark/>
          </w:tcPr>
          <w:p w14:paraId="0DB543C2" w14:textId="77777777" w:rsidR="00026C3F" w:rsidRDefault="00026C3F" w:rsidP="00A62E6F">
            <w:pPr>
              <w:pStyle w:val="idwtababs"/>
            </w:pPr>
            <w:r>
              <w:t> </w:t>
            </w:r>
          </w:p>
        </w:tc>
      </w:tr>
      <w:tr w:rsidR="00026C3F" w14:paraId="3935B33E" w14:textId="77777777" w:rsidTr="00026C3F">
        <w:trPr>
          <w:divId w:val="1932812704"/>
        </w:trPr>
        <w:tc>
          <w:tcPr>
            <w:tcW w:w="2392" w:type="dxa"/>
            <w:tcBorders>
              <w:top w:val="outset" w:sz="6" w:space="0" w:color="auto"/>
              <w:left w:val="outset" w:sz="6" w:space="0" w:color="auto"/>
              <w:bottom w:val="outset" w:sz="6" w:space="0" w:color="auto"/>
              <w:right w:val="outset" w:sz="6" w:space="0" w:color="auto"/>
            </w:tcBorders>
            <w:vAlign w:val="center"/>
            <w:hideMark/>
          </w:tcPr>
          <w:p w14:paraId="4113BAEA" w14:textId="77777777" w:rsidR="00026C3F" w:rsidRDefault="00026C3F" w:rsidP="00A62E6F">
            <w:pPr>
              <w:pStyle w:val="idwtababs"/>
            </w:pPr>
            <w:r>
              <w:t>Deponie-, Klär-, Grubengas</w:t>
            </w:r>
          </w:p>
        </w:tc>
        <w:tc>
          <w:tcPr>
            <w:tcW w:w="1853" w:type="dxa"/>
            <w:tcBorders>
              <w:top w:val="outset" w:sz="6" w:space="0" w:color="auto"/>
              <w:left w:val="outset" w:sz="6" w:space="0" w:color="auto"/>
              <w:bottom w:val="outset" w:sz="6" w:space="0" w:color="auto"/>
              <w:right w:val="single" w:sz="4" w:space="0" w:color="auto"/>
            </w:tcBorders>
            <w:hideMark/>
          </w:tcPr>
          <w:p w14:paraId="2CF6780E" w14:textId="77777777" w:rsidR="00026C3F" w:rsidRDefault="00026C3F" w:rsidP="00A62E6F">
            <w:pPr>
              <w:pStyle w:val="idwtababs"/>
            </w:pPr>
            <w:r>
              <w:t> </w:t>
            </w:r>
          </w:p>
        </w:tc>
        <w:tc>
          <w:tcPr>
            <w:tcW w:w="336" w:type="dxa"/>
            <w:tcBorders>
              <w:top w:val="nil"/>
              <w:left w:val="single" w:sz="4" w:space="0" w:color="auto"/>
              <w:bottom w:val="nil"/>
              <w:right w:val="single" w:sz="4" w:space="0" w:color="auto"/>
            </w:tcBorders>
            <w:hideMark/>
          </w:tcPr>
          <w:p w14:paraId="06686AC9" w14:textId="77777777" w:rsidR="00026C3F" w:rsidRDefault="00026C3F" w:rsidP="00A62E6F"/>
        </w:tc>
        <w:tc>
          <w:tcPr>
            <w:tcW w:w="1973" w:type="dxa"/>
            <w:tcBorders>
              <w:top w:val="outset" w:sz="6" w:space="0" w:color="auto"/>
              <w:left w:val="single" w:sz="4" w:space="0" w:color="auto"/>
              <w:bottom w:val="outset" w:sz="6" w:space="0" w:color="auto"/>
              <w:right w:val="outset" w:sz="6" w:space="0" w:color="auto"/>
            </w:tcBorders>
            <w:hideMark/>
          </w:tcPr>
          <w:p w14:paraId="6ED54F3F" w14:textId="77777777" w:rsidR="00026C3F" w:rsidRDefault="00026C3F" w:rsidP="00A62E6F">
            <w:pPr>
              <w:pStyle w:val="idwtababs"/>
              <w:rPr>
                <w:rFonts w:eastAsiaTheme="minorEastAsia"/>
                <w:sz w:val="24"/>
                <w:szCs w:val="24"/>
              </w:rPr>
            </w:pPr>
            <w:r>
              <w:t> </w:t>
            </w:r>
          </w:p>
        </w:tc>
        <w:tc>
          <w:tcPr>
            <w:tcW w:w="2500" w:type="dxa"/>
            <w:tcBorders>
              <w:top w:val="outset" w:sz="6" w:space="0" w:color="auto"/>
              <w:left w:val="outset" w:sz="6" w:space="0" w:color="auto"/>
              <w:bottom w:val="outset" w:sz="6" w:space="0" w:color="auto"/>
              <w:right w:val="outset" w:sz="6" w:space="0" w:color="auto"/>
            </w:tcBorders>
            <w:hideMark/>
          </w:tcPr>
          <w:p w14:paraId="084E26DD" w14:textId="77777777" w:rsidR="00026C3F" w:rsidRDefault="00026C3F" w:rsidP="00A62E6F">
            <w:pPr>
              <w:pStyle w:val="idwtababs"/>
            </w:pPr>
            <w:r>
              <w:t> </w:t>
            </w:r>
          </w:p>
        </w:tc>
      </w:tr>
      <w:tr w:rsidR="00026C3F" w14:paraId="39403A73" w14:textId="77777777" w:rsidTr="00026C3F">
        <w:trPr>
          <w:divId w:val="1932812704"/>
        </w:trPr>
        <w:tc>
          <w:tcPr>
            <w:tcW w:w="2392" w:type="dxa"/>
            <w:tcBorders>
              <w:top w:val="outset" w:sz="6" w:space="0" w:color="auto"/>
              <w:left w:val="outset" w:sz="6" w:space="0" w:color="auto"/>
              <w:bottom w:val="outset" w:sz="6" w:space="0" w:color="auto"/>
              <w:right w:val="outset" w:sz="6" w:space="0" w:color="auto"/>
            </w:tcBorders>
            <w:vAlign w:val="center"/>
            <w:hideMark/>
          </w:tcPr>
          <w:p w14:paraId="5C2A2BE3" w14:textId="77777777" w:rsidR="00026C3F" w:rsidRDefault="00026C3F" w:rsidP="00A62E6F">
            <w:pPr>
              <w:pStyle w:val="idwtababs"/>
            </w:pPr>
            <w:r>
              <w:t>Biomasse</w:t>
            </w:r>
          </w:p>
        </w:tc>
        <w:tc>
          <w:tcPr>
            <w:tcW w:w="1853" w:type="dxa"/>
            <w:tcBorders>
              <w:top w:val="outset" w:sz="6" w:space="0" w:color="auto"/>
              <w:left w:val="outset" w:sz="6" w:space="0" w:color="auto"/>
              <w:bottom w:val="outset" w:sz="6" w:space="0" w:color="auto"/>
              <w:right w:val="single" w:sz="4" w:space="0" w:color="auto"/>
            </w:tcBorders>
            <w:hideMark/>
          </w:tcPr>
          <w:p w14:paraId="58E27F8D" w14:textId="77777777" w:rsidR="00026C3F" w:rsidRDefault="00026C3F" w:rsidP="00A62E6F">
            <w:pPr>
              <w:pStyle w:val="idwtababs"/>
            </w:pPr>
            <w:r>
              <w:t> </w:t>
            </w:r>
          </w:p>
        </w:tc>
        <w:tc>
          <w:tcPr>
            <w:tcW w:w="336" w:type="dxa"/>
            <w:tcBorders>
              <w:top w:val="nil"/>
              <w:left w:val="single" w:sz="4" w:space="0" w:color="auto"/>
              <w:bottom w:val="nil"/>
              <w:right w:val="single" w:sz="4" w:space="0" w:color="auto"/>
            </w:tcBorders>
            <w:hideMark/>
          </w:tcPr>
          <w:p w14:paraId="04442722" w14:textId="77777777" w:rsidR="00026C3F" w:rsidRDefault="00026C3F" w:rsidP="00A62E6F"/>
        </w:tc>
        <w:tc>
          <w:tcPr>
            <w:tcW w:w="1973" w:type="dxa"/>
            <w:tcBorders>
              <w:top w:val="outset" w:sz="6" w:space="0" w:color="auto"/>
              <w:left w:val="single" w:sz="4" w:space="0" w:color="auto"/>
              <w:bottom w:val="outset" w:sz="6" w:space="0" w:color="auto"/>
              <w:right w:val="outset" w:sz="6" w:space="0" w:color="auto"/>
            </w:tcBorders>
            <w:hideMark/>
          </w:tcPr>
          <w:p w14:paraId="459DEDD6" w14:textId="77777777" w:rsidR="00026C3F" w:rsidRDefault="00026C3F" w:rsidP="00A62E6F">
            <w:pPr>
              <w:pStyle w:val="idwtababs"/>
              <w:rPr>
                <w:rFonts w:eastAsiaTheme="minorEastAsia"/>
                <w:sz w:val="24"/>
                <w:szCs w:val="24"/>
              </w:rPr>
            </w:pPr>
            <w:r>
              <w:t> </w:t>
            </w:r>
          </w:p>
        </w:tc>
        <w:tc>
          <w:tcPr>
            <w:tcW w:w="2500" w:type="dxa"/>
            <w:tcBorders>
              <w:top w:val="outset" w:sz="6" w:space="0" w:color="auto"/>
              <w:left w:val="outset" w:sz="6" w:space="0" w:color="auto"/>
              <w:bottom w:val="outset" w:sz="6" w:space="0" w:color="auto"/>
              <w:right w:val="outset" w:sz="6" w:space="0" w:color="auto"/>
            </w:tcBorders>
            <w:hideMark/>
          </w:tcPr>
          <w:p w14:paraId="56BA0435" w14:textId="77777777" w:rsidR="00026C3F" w:rsidRDefault="00026C3F" w:rsidP="00A62E6F">
            <w:pPr>
              <w:pStyle w:val="idwtababs"/>
            </w:pPr>
            <w:r>
              <w:t> </w:t>
            </w:r>
          </w:p>
        </w:tc>
      </w:tr>
      <w:tr w:rsidR="00026C3F" w14:paraId="122037F6" w14:textId="77777777" w:rsidTr="00026C3F">
        <w:trPr>
          <w:divId w:val="1932812704"/>
        </w:trPr>
        <w:tc>
          <w:tcPr>
            <w:tcW w:w="2392" w:type="dxa"/>
            <w:tcBorders>
              <w:top w:val="outset" w:sz="6" w:space="0" w:color="auto"/>
              <w:left w:val="outset" w:sz="6" w:space="0" w:color="auto"/>
              <w:bottom w:val="outset" w:sz="6" w:space="0" w:color="auto"/>
              <w:right w:val="outset" w:sz="6" w:space="0" w:color="auto"/>
            </w:tcBorders>
            <w:vAlign w:val="center"/>
            <w:hideMark/>
          </w:tcPr>
          <w:p w14:paraId="700F1568" w14:textId="77777777" w:rsidR="00026C3F" w:rsidRDefault="00026C3F" w:rsidP="00A62E6F">
            <w:pPr>
              <w:pStyle w:val="idwtababs"/>
            </w:pPr>
            <w:r>
              <w:t>Geothermie</w:t>
            </w:r>
          </w:p>
        </w:tc>
        <w:tc>
          <w:tcPr>
            <w:tcW w:w="1853" w:type="dxa"/>
            <w:tcBorders>
              <w:top w:val="outset" w:sz="6" w:space="0" w:color="auto"/>
              <w:left w:val="outset" w:sz="6" w:space="0" w:color="auto"/>
              <w:bottom w:val="outset" w:sz="6" w:space="0" w:color="auto"/>
              <w:right w:val="single" w:sz="4" w:space="0" w:color="auto"/>
            </w:tcBorders>
            <w:hideMark/>
          </w:tcPr>
          <w:p w14:paraId="0DB52980" w14:textId="77777777" w:rsidR="00026C3F" w:rsidRDefault="00026C3F" w:rsidP="00A62E6F">
            <w:pPr>
              <w:pStyle w:val="idwtababs"/>
            </w:pPr>
            <w:r>
              <w:t> </w:t>
            </w:r>
          </w:p>
        </w:tc>
        <w:tc>
          <w:tcPr>
            <w:tcW w:w="336" w:type="dxa"/>
            <w:tcBorders>
              <w:top w:val="nil"/>
              <w:left w:val="single" w:sz="4" w:space="0" w:color="auto"/>
              <w:bottom w:val="nil"/>
              <w:right w:val="single" w:sz="4" w:space="0" w:color="auto"/>
            </w:tcBorders>
            <w:hideMark/>
          </w:tcPr>
          <w:p w14:paraId="7A05CA92" w14:textId="77777777" w:rsidR="00026C3F" w:rsidRDefault="00026C3F" w:rsidP="00A62E6F"/>
        </w:tc>
        <w:tc>
          <w:tcPr>
            <w:tcW w:w="1973" w:type="dxa"/>
            <w:tcBorders>
              <w:top w:val="outset" w:sz="6" w:space="0" w:color="auto"/>
              <w:left w:val="single" w:sz="4" w:space="0" w:color="auto"/>
              <w:bottom w:val="outset" w:sz="6" w:space="0" w:color="auto"/>
              <w:right w:val="outset" w:sz="6" w:space="0" w:color="auto"/>
            </w:tcBorders>
            <w:hideMark/>
          </w:tcPr>
          <w:p w14:paraId="4B393049" w14:textId="77777777" w:rsidR="00026C3F" w:rsidRDefault="00026C3F" w:rsidP="00A62E6F">
            <w:pPr>
              <w:pStyle w:val="idwtababs"/>
              <w:rPr>
                <w:rFonts w:eastAsiaTheme="minorEastAsia"/>
                <w:sz w:val="24"/>
                <w:szCs w:val="24"/>
              </w:rPr>
            </w:pPr>
            <w:r>
              <w:t> </w:t>
            </w:r>
          </w:p>
        </w:tc>
        <w:tc>
          <w:tcPr>
            <w:tcW w:w="2500" w:type="dxa"/>
            <w:tcBorders>
              <w:top w:val="outset" w:sz="6" w:space="0" w:color="auto"/>
              <w:left w:val="outset" w:sz="6" w:space="0" w:color="auto"/>
              <w:bottom w:val="outset" w:sz="6" w:space="0" w:color="auto"/>
              <w:right w:val="outset" w:sz="6" w:space="0" w:color="auto"/>
            </w:tcBorders>
            <w:hideMark/>
          </w:tcPr>
          <w:p w14:paraId="6BFE3410" w14:textId="77777777" w:rsidR="00026C3F" w:rsidRDefault="00026C3F" w:rsidP="00A62E6F">
            <w:pPr>
              <w:pStyle w:val="idwtababs"/>
            </w:pPr>
            <w:r>
              <w:t> </w:t>
            </w:r>
          </w:p>
        </w:tc>
      </w:tr>
      <w:tr w:rsidR="00026C3F" w14:paraId="0A0DC3A2" w14:textId="77777777" w:rsidTr="00026C3F">
        <w:trPr>
          <w:divId w:val="1932812704"/>
        </w:trPr>
        <w:tc>
          <w:tcPr>
            <w:tcW w:w="2392" w:type="dxa"/>
            <w:tcBorders>
              <w:top w:val="outset" w:sz="6" w:space="0" w:color="auto"/>
              <w:left w:val="outset" w:sz="6" w:space="0" w:color="auto"/>
              <w:bottom w:val="outset" w:sz="6" w:space="0" w:color="auto"/>
              <w:right w:val="outset" w:sz="6" w:space="0" w:color="auto"/>
            </w:tcBorders>
            <w:vAlign w:val="center"/>
            <w:hideMark/>
          </w:tcPr>
          <w:p w14:paraId="790F8C70" w14:textId="77777777" w:rsidR="00026C3F" w:rsidRDefault="00026C3F" w:rsidP="00A62E6F">
            <w:pPr>
              <w:pStyle w:val="idwtababs"/>
            </w:pPr>
            <w:r>
              <w:t>Windenergie an Land</w:t>
            </w:r>
          </w:p>
        </w:tc>
        <w:tc>
          <w:tcPr>
            <w:tcW w:w="1853" w:type="dxa"/>
            <w:tcBorders>
              <w:top w:val="outset" w:sz="6" w:space="0" w:color="auto"/>
              <w:left w:val="outset" w:sz="6" w:space="0" w:color="auto"/>
              <w:bottom w:val="outset" w:sz="6" w:space="0" w:color="auto"/>
              <w:right w:val="single" w:sz="4" w:space="0" w:color="auto"/>
            </w:tcBorders>
            <w:hideMark/>
          </w:tcPr>
          <w:p w14:paraId="648BAE1B" w14:textId="77777777" w:rsidR="00026C3F" w:rsidRDefault="00026C3F" w:rsidP="00A62E6F">
            <w:pPr>
              <w:pStyle w:val="idwtababs"/>
            </w:pPr>
            <w:r>
              <w:t> </w:t>
            </w:r>
          </w:p>
        </w:tc>
        <w:tc>
          <w:tcPr>
            <w:tcW w:w="336" w:type="dxa"/>
            <w:tcBorders>
              <w:top w:val="nil"/>
              <w:left w:val="single" w:sz="4" w:space="0" w:color="auto"/>
              <w:bottom w:val="nil"/>
              <w:right w:val="single" w:sz="4" w:space="0" w:color="auto"/>
            </w:tcBorders>
            <w:hideMark/>
          </w:tcPr>
          <w:p w14:paraId="5DA320BE" w14:textId="77777777" w:rsidR="00026C3F" w:rsidRDefault="00026C3F" w:rsidP="00A62E6F"/>
        </w:tc>
        <w:tc>
          <w:tcPr>
            <w:tcW w:w="1973" w:type="dxa"/>
            <w:tcBorders>
              <w:top w:val="outset" w:sz="6" w:space="0" w:color="auto"/>
              <w:left w:val="single" w:sz="4" w:space="0" w:color="auto"/>
              <w:bottom w:val="outset" w:sz="6" w:space="0" w:color="auto"/>
              <w:right w:val="outset" w:sz="6" w:space="0" w:color="auto"/>
            </w:tcBorders>
            <w:hideMark/>
          </w:tcPr>
          <w:p w14:paraId="562BF82E" w14:textId="77777777" w:rsidR="00026C3F" w:rsidRDefault="00026C3F" w:rsidP="00A62E6F">
            <w:pPr>
              <w:pStyle w:val="idwtababs"/>
              <w:rPr>
                <w:rFonts w:eastAsiaTheme="minorEastAsia"/>
                <w:sz w:val="24"/>
                <w:szCs w:val="24"/>
              </w:rPr>
            </w:pPr>
            <w:r>
              <w:t> </w:t>
            </w:r>
          </w:p>
        </w:tc>
        <w:tc>
          <w:tcPr>
            <w:tcW w:w="2500" w:type="dxa"/>
            <w:tcBorders>
              <w:top w:val="outset" w:sz="6" w:space="0" w:color="auto"/>
              <w:left w:val="outset" w:sz="6" w:space="0" w:color="auto"/>
              <w:bottom w:val="outset" w:sz="6" w:space="0" w:color="auto"/>
              <w:right w:val="outset" w:sz="6" w:space="0" w:color="auto"/>
            </w:tcBorders>
            <w:hideMark/>
          </w:tcPr>
          <w:p w14:paraId="6FDCF0C6" w14:textId="77777777" w:rsidR="00026C3F" w:rsidRDefault="00026C3F" w:rsidP="00A62E6F">
            <w:pPr>
              <w:pStyle w:val="idwtababs"/>
            </w:pPr>
            <w:r>
              <w:t> </w:t>
            </w:r>
          </w:p>
        </w:tc>
      </w:tr>
      <w:tr w:rsidR="00026C3F" w14:paraId="29EAF13F" w14:textId="77777777" w:rsidTr="00026C3F">
        <w:trPr>
          <w:divId w:val="1932812704"/>
        </w:trPr>
        <w:tc>
          <w:tcPr>
            <w:tcW w:w="2392" w:type="dxa"/>
            <w:tcBorders>
              <w:top w:val="outset" w:sz="6" w:space="0" w:color="auto"/>
              <w:left w:val="outset" w:sz="6" w:space="0" w:color="auto"/>
              <w:bottom w:val="outset" w:sz="6" w:space="0" w:color="auto"/>
              <w:right w:val="outset" w:sz="6" w:space="0" w:color="auto"/>
            </w:tcBorders>
            <w:vAlign w:val="center"/>
            <w:hideMark/>
          </w:tcPr>
          <w:p w14:paraId="4D16E050" w14:textId="77777777" w:rsidR="00026C3F" w:rsidRDefault="00026C3F" w:rsidP="00A62E6F">
            <w:pPr>
              <w:pStyle w:val="idwtababs"/>
            </w:pPr>
            <w:r>
              <w:t>Windenergie auf See</w:t>
            </w:r>
          </w:p>
        </w:tc>
        <w:tc>
          <w:tcPr>
            <w:tcW w:w="1853" w:type="dxa"/>
            <w:tcBorders>
              <w:top w:val="outset" w:sz="6" w:space="0" w:color="auto"/>
              <w:left w:val="outset" w:sz="6" w:space="0" w:color="auto"/>
              <w:bottom w:val="outset" w:sz="6" w:space="0" w:color="auto"/>
              <w:right w:val="single" w:sz="4" w:space="0" w:color="auto"/>
            </w:tcBorders>
            <w:hideMark/>
          </w:tcPr>
          <w:p w14:paraId="01A83B54" w14:textId="77777777" w:rsidR="00026C3F" w:rsidRDefault="00026C3F" w:rsidP="00A62E6F">
            <w:pPr>
              <w:pStyle w:val="idwtababs"/>
            </w:pPr>
            <w:r>
              <w:t> </w:t>
            </w:r>
          </w:p>
        </w:tc>
        <w:tc>
          <w:tcPr>
            <w:tcW w:w="336" w:type="dxa"/>
            <w:tcBorders>
              <w:top w:val="nil"/>
              <w:left w:val="single" w:sz="4" w:space="0" w:color="auto"/>
              <w:bottom w:val="nil"/>
              <w:right w:val="single" w:sz="4" w:space="0" w:color="auto"/>
            </w:tcBorders>
            <w:hideMark/>
          </w:tcPr>
          <w:p w14:paraId="2DF8A5F6" w14:textId="77777777" w:rsidR="00026C3F" w:rsidRDefault="00026C3F" w:rsidP="00A62E6F"/>
        </w:tc>
        <w:tc>
          <w:tcPr>
            <w:tcW w:w="1973" w:type="dxa"/>
            <w:tcBorders>
              <w:top w:val="outset" w:sz="6" w:space="0" w:color="auto"/>
              <w:left w:val="single" w:sz="4" w:space="0" w:color="auto"/>
              <w:bottom w:val="outset" w:sz="6" w:space="0" w:color="auto"/>
              <w:right w:val="outset" w:sz="6" w:space="0" w:color="auto"/>
            </w:tcBorders>
            <w:hideMark/>
          </w:tcPr>
          <w:p w14:paraId="37039ACC" w14:textId="77777777" w:rsidR="00026C3F" w:rsidRDefault="00026C3F" w:rsidP="00A62E6F">
            <w:pPr>
              <w:pStyle w:val="idwtababs"/>
              <w:rPr>
                <w:rFonts w:eastAsiaTheme="minorEastAsia"/>
                <w:sz w:val="24"/>
                <w:szCs w:val="24"/>
              </w:rPr>
            </w:pPr>
            <w:r>
              <w:t> </w:t>
            </w:r>
          </w:p>
        </w:tc>
        <w:tc>
          <w:tcPr>
            <w:tcW w:w="2500" w:type="dxa"/>
            <w:tcBorders>
              <w:top w:val="outset" w:sz="6" w:space="0" w:color="auto"/>
              <w:left w:val="outset" w:sz="6" w:space="0" w:color="auto"/>
              <w:bottom w:val="outset" w:sz="6" w:space="0" w:color="auto"/>
              <w:right w:val="outset" w:sz="6" w:space="0" w:color="auto"/>
            </w:tcBorders>
            <w:hideMark/>
          </w:tcPr>
          <w:p w14:paraId="20564D94" w14:textId="77777777" w:rsidR="00026C3F" w:rsidRDefault="00026C3F" w:rsidP="00A62E6F">
            <w:pPr>
              <w:pStyle w:val="idwtababs"/>
            </w:pPr>
            <w:r>
              <w:t> </w:t>
            </w:r>
          </w:p>
        </w:tc>
      </w:tr>
      <w:tr w:rsidR="00026C3F" w14:paraId="6773919C" w14:textId="77777777" w:rsidTr="00026C3F">
        <w:trPr>
          <w:divId w:val="1932812704"/>
        </w:trPr>
        <w:tc>
          <w:tcPr>
            <w:tcW w:w="2392" w:type="dxa"/>
            <w:tcBorders>
              <w:top w:val="outset" w:sz="6" w:space="0" w:color="auto"/>
              <w:left w:val="outset" w:sz="6" w:space="0" w:color="auto"/>
              <w:bottom w:val="single" w:sz="4" w:space="0" w:color="auto"/>
              <w:right w:val="outset" w:sz="6" w:space="0" w:color="auto"/>
            </w:tcBorders>
            <w:vAlign w:val="center"/>
            <w:hideMark/>
          </w:tcPr>
          <w:p w14:paraId="3535C67E" w14:textId="77777777" w:rsidR="00026C3F" w:rsidRDefault="00026C3F" w:rsidP="00A62E6F">
            <w:pPr>
              <w:pStyle w:val="idwtababs"/>
            </w:pPr>
            <w:r>
              <w:t>Solare Strahlungsenergie</w:t>
            </w:r>
          </w:p>
        </w:tc>
        <w:tc>
          <w:tcPr>
            <w:tcW w:w="1853" w:type="dxa"/>
            <w:tcBorders>
              <w:top w:val="outset" w:sz="6" w:space="0" w:color="auto"/>
              <w:left w:val="outset" w:sz="6" w:space="0" w:color="auto"/>
              <w:bottom w:val="outset" w:sz="6" w:space="0" w:color="auto"/>
              <w:right w:val="single" w:sz="4" w:space="0" w:color="auto"/>
            </w:tcBorders>
            <w:hideMark/>
          </w:tcPr>
          <w:p w14:paraId="6B0CA9FC" w14:textId="77777777" w:rsidR="00026C3F" w:rsidRDefault="00026C3F" w:rsidP="00A62E6F">
            <w:pPr>
              <w:pStyle w:val="idwtababs"/>
            </w:pPr>
            <w:r>
              <w:t> </w:t>
            </w:r>
          </w:p>
        </w:tc>
        <w:tc>
          <w:tcPr>
            <w:tcW w:w="336" w:type="dxa"/>
            <w:tcBorders>
              <w:top w:val="nil"/>
              <w:left w:val="single" w:sz="4" w:space="0" w:color="auto"/>
              <w:bottom w:val="nil"/>
              <w:right w:val="single" w:sz="4" w:space="0" w:color="auto"/>
            </w:tcBorders>
            <w:hideMark/>
          </w:tcPr>
          <w:p w14:paraId="5FE21D0F" w14:textId="77777777" w:rsidR="00026C3F" w:rsidRDefault="00026C3F" w:rsidP="00A62E6F"/>
        </w:tc>
        <w:tc>
          <w:tcPr>
            <w:tcW w:w="1973" w:type="dxa"/>
            <w:tcBorders>
              <w:top w:val="outset" w:sz="6" w:space="0" w:color="auto"/>
              <w:left w:val="single" w:sz="4" w:space="0" w:color="auto"/>
              <w:bottom w:val="outset" w:sz="6" w:space="0" w:color="auto"/>
              <w:right w:val="outset" w:sz="6" w:space="0" w:color="auto"/>
            </w:tcBorders>
            <w:hideMark/>
          </w:tcPr>
          <w:p w14:paraId="0081B3AD" w14:textId="77777777" w:rsidR="00026C3F" w:rsidRDefault="00026C3F" w:rsidP="00A62E6F">
            <w:pPr>
              <w:pStyle w:val="idwtababs"/>
              <w:rPr>
                <w:rFonts w:eastAsiaTheme="minorEastAsia"/>
                <w:sz w:val="24"/>
                <w:szCs w:val="24"/>
              </w:rPr>
            </w:pPr>
            <w:r>
              <w:t> </w:t>
            </w:r>
          </w:p>
        </w:tc>
        <w:tc>
          <w:tcPr>
            <w:tcW w:w="2500" w:type="dxa"/>
            <w:tcBorders>
              <w:top w:val="outset" w:sz="6" w:space="0" w:color="auto"/>
              <w:left w:val="outset" w:sz="6" w:space="0" w:color="auto"/>
              <w:bottom w:val="outset" w:sz="6" w:space="0" w:color="auto"/>
              <w:right w:val="outset" w:sz="6" w:space="0" w:color="auto"/>
            </w:tcBorders>
            <w:hideMark/>
          </w:tcPr>
          <w:p w14:paraId="0AD6A48E" w14:textId="77777777" w:rsidR="00026C3F" w:rsidRDefault="00026C3F" w:rsidP="00A62E6F">
            <w:pPr>
              <w:pStyle w:val="idwtababs"/>
            </w:pPr>
            <w:r>
              <w:t> </w:t>
            </w:r>
          </w:p>
        </w:tc>
      </w:tr>
      <w:tr w:rsidR="00762983" w14:paraId="7C6B3883" w14:textId="77777777" w:rsidTr="00026C3F">
        <w:trPr>
          <w:divId w:val="1932812704"/>
        </w:trPr>
        <w:tc>
          <w:tcPr>
            <w:tcW w:w="2392" w:type="dxa"/>
            <w:tcBorders>
              <w:top w:val="single" w:sz="4" w:space="0" w:color="auto"/>
              <w:left w:val="nil"/>
              <w:bottom w:val="nil"/>
              <w:right w:val="single" w:sz="4" w:space="0" w:color="auto"/>
            </w:tcBorders>
            <w:vAlign w:val="bottom"/>
            <w:hideMark/>
          </w:tcPr>
          <w:p w14:paraId="57A5F196" w14:textId="77777777" w:rsidR="00026C3F" w:rsidRDefault="00026C3F" w:rsidP="00A62E6F">
            <w:pPr>
              <w:pStyle w:val="idwtababs"/>
            </w:pPr>
            <w:r>
              <w:rPr>
                <w:b/>
                <w:bCs w:val="0"/>
              </w:rPr>
              <w:t>Summe:</w:t>
            </w:r>
          </w:p>
        </w:tc>
        <w:tc>
          <w:tcPr>
            <w:tcW w:w="1853" w:type="dxa"/>
            <w:tcBorders>
              <w:top w:val="outset" w:sz="6" w:space="0" w:color="auto"/>
              <w:left w:val="single" w:sz="4" w:space="0" w:color="auto"/>
              <w:bottom w:val="single" w:sz="4" w:space="0" w:color="auto"/>
              <w:right w:val="single" w:sz="4" w:space="0" w:color="auto"/>
            </w:tcBorders>
            <w:hideMark/>
          </w:tcPr>
          <w:p w14:paraId="1431FCD5" w14:textId="77777777" w:rsidR="00026C3F" w:rsidRDefault="00026C3F" w:rsidP="00A62E6F">
            <w:pPr>
              <w:pStyle w:val="idwtababs"/>
            </w:pPr>
            <w:r>
              <w:t> </w:t>
            </w:r>
          </w:p>
        </w:tc>
        <w:tc>
          <w:tcPr>
            <w:tcW w:w="336" w:type="dxa"/>
            <w:tcBorders>
              <w:top w:val="nil"/>
              <w:left w:val="single" w:sz="4" w:space="0" w:color="auto"/>
              <w:bottom w:val="nil"/>
              <w:right w:val="single" w:sz="4" w:space="0" w:color="auto"/>
            </w:tcBorders>
            <w:hideMark/>
          </w:tcPr>
          <w:p w14:paraId="5CBD3C16" w14:textId="77777777" w:rsidR="00026C3F" w:rsidRDefault="00026C3F" w:rsidP="00A62E6F"/>
        </w:tc>
        <w:tc>
          <w:tcPr>
            <w:tcW w:w="1973" w:type="dxa"/>
            <w:tcBorders>
              <w:top w:val="outset" w:sz="6" w:space="0" w:color="auto"/>
              <w:left w:val="single" w:sz="4" w:space="0" w:color="auto"/>
              <w:bottom w:val="single" w:sz="4" w:space="0" w:color="auto"/>
              <w:right w:val="outset" w:sz="6" w:space="0" w:color="auto"/>
            </w:tcBorders>
            <w:hideMark/>
          </w:tcPr>
          <w:p w14:paraId="62B7077C" w14:textId="77777777" w:rsidR="00026C3F" w:rsidRDefault="00026C3F" w:rsidP="00A62E6F">
            <w:pPr>
              <w:pStyle w:val="idwtababs"/>
              <w:rPr>
                <w:rFonts w:eastAsiaTheme="minorEastAsia"/>
                <w:sz w:val="24"/>
                <w:szCs w:val="24"/>
              </w:rPr>
            </w:pPr>
            <w:r>
              <w:t> </w:t>
            </w:r>
          </w:p>
        </w:tc>
        <w:tc>
          <w:tcPr>
            <w:tcW w:w="2500" w:type="dxa"/>
            <w:tcBorders>
              <w:top w:val="outset" w:sz="6" w:space="0" w:color="auto"/>
              <w:left w:val="outset" w:sz="6" w:space="0" w:color="auto"/>
              <w:bottom w:val="single" w:sz="4" w:space="0" w:color="auto"/>
              <w:right w:val="outset" w:sz="6" w:space="0" w:color="auto"/>
            </w:tcBorders>
            <w:hideMark/>
          </w:tcPr>
          <w:p w14:paraId="22A704AD" w14:textId="77777777" w:rsidR="00026C3F" w:rsidRDefault="00026C3F" w:rsidP="00A62E6F">
            <w:pPr>
              <w:pStyle w:val="idwtababs"/>
            </w:pPr>
            <w:r>
              <w:t> </w:t>
            </w:r>
          </w:p>
        </w:tc>
      </w:tr>
      <w:tr w:rsidR="00026C3F" w14:paraId="44B1D653" w14:textId="77777777" w:rsidTr="00026C3F">
        <w:trPr>
          <w:divId w:val="1932812704"/>
        </w:trPr>
        <w:tc>
          <w:tcPr>
            <w:tcW w:w="2392" w:type="dxa"/>
            <w:tcBorders>
              <w:top w:val="nil"/>
              <w:left w:val="nil"/>
              <w:bottom w:val="nil"/>
              <w:right w:val="nil"/>
            </w:tcBorders>
            <w:hideMark/>
          </w:tcPr>
          <w:p w14:paraId="3863E75C" w14:textId="77777777" w:rsidR="00026C3F" w:rsidRDefault="00026C3F" w:rsidP="00A62E6F"/>
        </w:tc>
        <w:tc>
          <w:tcPr>
            <w:tcW w:w="1853" w:type="dxa"/>
            <w:tcBorders>
              <w:top w:val="single" w:sz="4" w:space="0" w:color="auto"/>
              <w:left w:val="nil"/>
              <w:bottom w:val="nil"/>
              <w:right w:val="nil"/>
            </w:tcBorders>
            <w:vAlign w:val="bottom"/>
            <w:hideMark/>
          </w:tcPr>
          <w:p w14:paraId="6BAF924E" w14:textId="77777777" w:rsidR="00026C3F" w:rsidRDefault="00026C3F" w:rsidP="00A62E6F">
            <w:pPr>
              <w:pStyle w:val="idwtababs"/>
              <w:rPr>
                <w:rFonts w:eastAsiaTheme="minorEastAsia"/>
                <w:sz w:val="24"/>
                <w:szCs w:val="24"/>
              </w:rPr>
            </w:pPr>
            <w:r>
              <w:rPr>
                <w:b/>
                <w:bCs w:val="0"/>
              </w:rPr>
              <w:t>(2)</w:t>
            </w:r>
          </w:p>
        </w:tc>
        <w:tc>
          <w:tcPr>
            <w:tcW w:w="336" w:type="dxa"/>
            <w:tcBorders>
              <w:top w:val="nil"/>
              <w:left w:val="nil"/>
              <w:bottom w:val="nil"/>
              <w:right w:val="nil"/>
            </w:tcBorders>
            <w:hideMark/>
          </w:tcPr>
          <w:p w14:paraId="498CAB07" w14:textId="77777777" w:rsidR="00026C3F" w:rsidRDefault="00026C3F" w:rsidP="00A62E6F"/>
        </w:tc>
        <w:tc>
          <w:tcPr>
            <w:tcW w:w="1973" w:type="dxa"/>
            <w:tcBorders>
              <w:top w:val="single" w:sz="4" w:space="0" w:color="auto"/>
              <w:left w:val="nil"/>
              <w:bottom w:val="nil"/>
              <w:right w:val="nil"/>
            </w:tcBorders>
            <w:vAlign w:val="center"/>
            <w:hideMark/>
          </w:tcPr>
          <w:p w14:paraId="348A0C93" w14:textId="77777777" w:rsidR="00026C3F" w:rsidRDefault="00026C3F" w:rsidP="00A62E6F">
            <w:pPr>
              <w:rPr>
                <w:sz w:val="20"/>
              </w:rPr>
            </w:pPr>
          </w:p>
        </w:tc>
        <w:tc>
          <w:tcPr>
            <w:tcW w:w="2500" w:type="dxa"/>
            <w:tcBorders>
              <w:top w:val="single" w:sz="4" w:space="0" w:color="auto"/>
              <w:left w:val="nil"/>
              <w:bottom w:val="nil"/>
              <w:right w:val="nil"/>
            </w:tcBorders>
            <w:vAlign w:val="center"/>
            <w:hideMark/>
          </w:tcPr>
          <w:p w14:paraId="2F1145DC" w14:textId="77777777" w:rsidR="00026C3F" w:rsidRDefault="00026C3F" w:rsidP="00A62E6F">
            <w:pPr>
              <w:rPr>
                <w:sz w:val="20"/>
              </w:rPr>
            </w:pPr>
          </w:p>
        </w:tc>
      </w:tr>
    </w:tbl>
    <w:p w14:paraId="7577F9FA" w14:textId="77777777" w:rsidR="00026C3F" w:rsidRDefault="00026C3F" w:rsidP="00026C3F">
      <w:pPr>
        <w:keepNext/>
        <w:spacing w:before="100" w:beforeAutospacing="1" w:after="100" w:afterAutospacing="1"/>
        <w:divId w:val="1932812704"/>
        <w:rPr>
          <w:rFonts w:eastAsiaTheme="minorEastAsia"/>
          <w:sz w:val="24"/>
          <w:szCs w:val="24"/>
        </w:rPr>
      </w:pPr>
      <w:r>
        <w:rPr>
          <w:b/>
          <w:bCs/>
        </w:rPr>
        <w:lastRenderedPageBreak/>
        <w:t>Mieterstromzuschlag</w:t>
      </w:r>
    </w:p>
    <w:p w14:paraId="16BDE522" w14:textId="77777777" w:rsidR="00026C3F" w:rsidRDefault="00026C3F" w:rsidP="00026C3F">
      <w:pPr>
        <w:spacing w:before="100" w:beforeAutospacing="1" w:after="100" w:afterAutospacing="1"/>
        <w:divId w:val="1932812704"/>
      </w:pPr>
      <w:r>
        <w:t>Die nachfolgende Tabelle gibt die von uns nach § 19 Abs. 1 Nr. 3 EEG 2023 zu leistenden Zahlungen von Mieterstromzuschlägen sowie die korrespondierenden Strommengen für den Zeitraum vom … [</w:t>
      </w:r>
      <w:r>
        <w:rPr>
          <w:i/>
          <w:iCs/>
        </w:rPr>
        <w:t>Datum 2025</w:t>
      </w:r>
      <w:r>
        <w:t>] bis … [</w:t>
      </w:r>
      <w:r>
        <w:rPr>
          <w:i/>
          <w:iCs/>
        </w:rPr>
        <w:t>Datum 2025</w:t>
      </w:r>
      <w:r>
        <w:t>] wieder. Ferner sind in der Tabelle die Angaben für Anlagen nach § 100 Abs. 1 Nr. 1 EEG 2023 enthalten, die vor dem 01.01.2023 in Betrieb genommen wurden:</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4358"/>
        <w:gridCol w:w="1776"/>
        <w:gridCol w:w="1776"/>
        <w:gridCol w:w="1152"/>
      </w:tblGrid>
      <w:tr w:rsidR="00026C3F" w14:paraId="587B8A68" w14:textId="77777777" w:rsidTr="00026C3F">
        <w:trPr>
          <w:divId w:val="1932812704"/>
        </w:trPr>
        <w:tc>
          <w:tcPr>
            <w:tcW w:w="4355" w:type="dxa"/>
            <w:tcBorders>
              <w:top w:val="outset" w:sz="6" w:space="0" w:color="auto"/>
              <w:left w:val="outset" w:sz="6" w:space="0" w:color="auto"/>
              <w:bottom w:val="outset" w:sz="6" w:space="0" w:color="auto"/>
              <w:right w:val="outset" w:sz="6" w:space="0" w:color="auto"/>
            </w:tcBorders>
            <w:hideMark/>
          </w:tcPr>
          <w:p w14:paraId="0E0BFFD4" w14:textId="77777777" w:rsidR="00026C3F" w:rsidRDefault="00026C3F" w:rsidP="00A62E6F">
            <w:pPr>
              <w:pStyle w:val="idwtababs"/>
            </w:pPr>
            <w:r>
              <w:t> </w:t>
            </w:r>
          </w:p>
        </w:tc>
        <w:tc>
          <w:tcPr>
            <w:tcW w:w="1774" w:type="dxa"/>
            <w:tcBorders>
              <w:top w:val="outset" w:sz="6" w:space="0" w:color="auto"/>
              <w:left w:val="outset" w:sz="6" w:space="0" w:color="auto"/>
              <w:bottom w:val="outset" w:sz="6" w:space="0" w:color="auto"/>
              <w:right w:val="outset" w:sz="6" w:space="0" w:color="auto"/>
            </w:tcBorders>
            <w:vAlign w:val="bottom"/>
            <w:hideMark/>
          </w:tcPr>
          <w:p w14:paraId="7D621D83" w14:textId="77777777" w:rsidR="00026C3F" w:rsidRDefault="00026C3F" w:rsidP="00A62E6F">
            <w:pPr>
              <w:pStyle w:val="idwtababs"/>
              <w:jc w:val="center"/>
            </w:pPr>
            <w:r>
              <w:rPr>
                <w:b/>
                <w:bCs w:val="0"/>
              </w:rPr>
              <w:t>[kWh]</w:t>
            </w:r>
          </w:p>
        </w:tc>
        <w:tc>
          <w:tcPr>
            <w:tcW w:w="1774" w:type="dxa"/>
            <w:tcBorders>
              <w:top w:val="outset" w:sz="6" w:space="0" w:color="auto"/>
              <w:left w:val="outset" w:sz="6" w:space="0" w:color="auto"/>
              <w:bottom w:val="outset" w:sz="6" w:space="0" w:color="auto"/>
              <w:right w:val="single" w:sz="4" w:space="0" w:color="auto"/>
            </w:tcBorders>
            <w:vAlign w:val="bottom"/>
            <w:hideMark/>
          </w:tcPr>
          <w:p w14:paraId="38131EF4" w14:textId="77777777" w:rsidR="00026C3F" w:rsidRDefault="00026C3F" w:rsidP="00A62E6F">
            <w:pPr>
              <w:pStyle w:val="idwtababs"/>
              <w:jc w:val="center"/>
            </w:pPr>
            <w:r>
              <w:rPr>
                <w:b/>
                <w:bCs w:val="0"/>
              </w:rPr>
              <w:t>[EUR]</w:t>
            </w:r>
          </w:p>
        </w:tc>
        <w:tc>
          <w:tcPr>
            <w:tcW w:w="1151" w:type="dxa"/>
            <w:tcBorders>
              <w:top w:val="nil"/>
              <w:left w:val="single" w:sz="4" w:space="0" w:color="auto"/>
              <w:bottom w:val="nil"/>
              <w:right w:val="nil"/>
            </w:tcBorders>
            <w:hideMark/>
          </w:tcPr>
          <w:p w14:paraId="509753ED" w14:textId="77777777" w:rsidR="00026C3F" w:rsidRDefault="00026C3F" w:rsidP="00A62E6F"/>
        </w:tc>
      </w:tr>
      <w:tr w:rsidR="00026C3F" w14:paraId="6D9F5B5C" w14:textId="77777777" w:rsidTr="00026C3F">
        <w:trPr>
          <w:divId w:val="1932812704"/>
        </w:trPr>
        <w:tc>
          <w:tcPr>
            <w:tcW w:w="4355" w:type="dxa"/>
            <w:tcBorders>
              <w:top w:val="outset" w:sz="6" w:space="0" w:color="auto"/>
              <w:left w:val="outset" w:sz="6" w:space="0" w:color="auto"/>
              <w:bottom w:val="outset" w:sz="6" w:space="0" w:color="auto"/>
              <w:right w:val="outset" w:sz="6" w:space="0" w:color="auto"/>
            </w:tcBorders>
            <w:vAlign w:val="center"/>
            <w:hideMark/>
          </w:tcPr>
          <w:p w14:paraId="1679936C" w14:textId="77777777" w:rsidR="00026C3F" w:rsidRDefault="00026C3F" w:rsidP="00A62E6F">
            <w:pPr>
              <w:pStyle w:val="idwtababs"/>
              <w:rPr>
                <w:rFonts w:eastAsiaTheme="minorEastAsia"/>
                <w:sz w:val="24"/>
                <w:szCs w:val="24"/>
              </w:rPr>
            </w:pPr>
            <w:r>
              <w:t>Mieterstromzuschlag</w:t>
            </w:r>
          </w:p>
        </w:tc>
        <w:tc>
          <w:tcPr>
            <w:tcW w:w="1774" w:type="dxa"/>
            <w:tcBorders>
              <w:top w:val="outset" w:sz="6" w:space="0" w:color="auto"/>
              <w:left w:val="outset" w:sz="6" w:space="0" w:color="auto"/>
              <w:bottom w:val="outset" w:sz="6" w:space="0" w:color="auto"/>
              <w:right w:val="outset" w:sz="6" w:space="0" w:color="auto"/>
            </w:tcBorders>
            <w:hideMark/>
          </w:tcPr>
          <w:p w14:paraId="51194F54" w14:textId="77777777" w:rsidR="00026C3F" w:rsidRDefault="00026C3F" w:rsidP="00A62E6F">
            <w:pPr>
              <w:pStyle w:val="idwtababs"/>
            </w:pPr>
            <w:r>
              <w:t> </w:t>
            </w:r>
          </w:p>
        </w:tc>
        <w:tc>
          <w:tcPr>
            <w:tcW w:w="1774" w:type="dxa"/>
            <w:tcBorders>
              <w:top w:val="outset" w:sz="6" w:space="0" w:color="auto"/>
              <w:left w:val="outset" w:sz="6" w:space="0" w:color="auto"/>
              <w:bottom w:val="outset" w:sz="6" w:space="0" w:color="auto"/>
              <w:right w:val="single" w:sz="4" w:space="0" w:color="auto"/>
            </w:tcBorders>
            <w:hideMark/>
          </w:tcPr>
          <w:p w14:paraId="53053317" w14:textId="77777777" w:rsidR="00026C3F" w:rsidRDefault="00026C3F" w:rsidP="00A62E6F">
            <w:pPr>
              <w:pStyle w:val="idwtababs"/>
            </w:pPr>
            <w:r>
              <w:t> </w:t>
            </w:r>
          </w:p>
        </w:tc>
        <w:tc>
          <w:tcPr>
            <w:tcW w:w="1151" w:type="dxa"/>
            <w:tcBorders>
              <w:top w:val="nil"/>
              <w:left w:val="single" w:sz="4" w:space="0" w:color="auto"/>
              <w:bottom w:val="nil"/>
              <w:right w:val="nil"/>
            </w:tcBorders>
            <w:vAlign w:val="center"/>
            <w:hideMark/>
          </w:tcPr>
          <w:p w14:paraId="0985D093" w14:textId="77777777" w:rsidR="00026C3F" w:rsidRDefault="00026C3F" w:rsidP="00A62E6F">
            <w:pPr>
              <w:pStyle w:val="idwtababs"/>
            </w:pPr>
            <w:r>
              <w:rPr>
                <w:b/>
                <w:bCs w:val="0"/>
              </w:rPr>
              <w:t>(3)</w:t>
            </w:r>
          </w:p>
        </w:tc>
      </w:tr>
    </w:tbl>
    <w:p w14:paraId="1580CEF6" w14:textId="77777777" w:rsidR="00026C3F" w:rsidRDefault="00026C3F" w:rsidP="00403E80">
      <w:pPr>
        <w:keepNext/>
        <w:spacing w:before="480" w:after="100" w:afterAutospacing="1"/>
        <w:divId w:val="1932812704"/>
        <w:rPr>
          <w:rFonts w:eastAsiaTheme="minorEastAsia"/>
        </w:rPr>
      </w:pPr>
      <w:r>
        <w:rPr>
          <w:b/>
          <w:bCs/>
        </w:rPr>
        <w:t>Zahlungsanspruch für Flexibilität</w:t>
      </w:r>
    </w:p>
    <w:p w14:paraId="099074A2" w14:textId="77777777" w:rsidR="00026C3F" w:rsidRDefault="00026C3F" w:rsidP="00026C3F">
      <w:pPr>
        <w:spacing w:before="100" w:beforeAutospacing="1" w:after="100" w:afterAutospacing="1"/>
        <w:divId w:val="1932812704"/>
      </w:pPr>
      <w:r>
        <w:t>Die nachfolgende Tabelle gibt die von uns</w:t>
      </w:r>
    </w:p>
    <w:p w14:paraId="05D72659" w14:textId="77777777" w:rsidR="00026C3F" w:rsidRDefault="00026C3F" w:rsidP="00026C3F">
      <w:pPr>
        <w:pStyle w:val="idwlistfree1"/>
        <w:divId w:val="1932812704"/>
      </w:pPr>
      <w:r>
        <w:t>●</w:t>
      </w:r>
      <w:r>
        <w:tab/>
        <w:t>nach § 50a EEG 2023 (Flexibilitätszuschlag) sowie</w:t>
      </w:r>
    </w:p>
    <w:p w14:paraId="29E6E05A" w14:textId="77777777" w:rsidR="00026C3F" w:rsidRDefault="00026C3F" w:rsidP="00026C3F">
      <w:pPr>
        <w:pStyle w:val="idwlistfree1"/>
        <w:divId w:val="1932812704"/>
      </w:pPr>
      <w:r>
        <w:t>●</w:t>
      </w:r>
      <w:r>
        <w:tab/>
        <w:t>nach § 50b EEG 2023 (Flexibilitätsprämie)</w:t>
      </w:r>
    </w:p>
    <w:p w14:paraId="1939A321" w14:textId="77777777" w:rsidR="00026C3F" w:rsidRDefault="00026C3F" w:rsidP="00026C3F">
      <w:pPr>
        <w:spacing w:before="100" w:beforeAutospacing="1" w:after="100" w:afterAutospacing="1"/>
        <w:divId w:val="1932812704"/>
      </w:pPr>
      <w:r>
        <w:t>zu leistenden Zahlungen für die Bereitstellung installierter Leistung für den Zeitraum vom … [</w:t>
      </w:r>
      <w:r>
        <w:rPr>
          <w:i/>
          <w:iCs/>
        </w:rPr>
        <w:t>Datum 2025</w:t>
      </w:r>
      <w:r>
        <w:t>] bis … [</w:t>
      </w:r>
      <w:r>
        <w:rPr>
          <w:i/>
          <w:iCs/>
        </w:rPr>
        <w:t>Datum 2025</w:t>
      </w:r>
      <w:r>
        <w:t>] wieder. Ferner sind in der Tabelle die Angaben für Anlagen nach § 100 Abs. 1 Nr. 1 EEG 2023 enthalten, die vor dem 01.01.2023 in Betrieb genommen wurden:</w:t>
      </w:r>
    </w:p>
    <w:tbl>
      <w:tblPr>
        <w:tblW w:w="5013"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6115"/>
        <w:gridCol w:w="1822"/>
        <w:gridCol w:w="1149"/>
      </w:tblGrid>
      <w:tr w:rsidR="00026C3F" w14:paraId="29C98EFA" w14:textId="77777777" w:rsidTr="00026C3F">
        <w:trPr>
          <w:divId w:val="1932812704"/>
        </w:trPr>
        <w:tc>
          <w:tcPr>
            <w:tcW w:w="6109" w:type="dxa"/>
            <w:tcBorders>
              <w:top w:val="outset" w:sz="6" w:space="0" w:color="auto"/>
              <w:left w:val="outset" w:sz="6" w:space="0" w:color="auto"/>
              <w:bottom w:val="outset" w:sz="6" w:space="0" w:color="auto"/>
              <w:right w:val="outset" w:sz="6" w:space="0" w:color="auto"/>
            </w:tcBorders>
            <w:hideMark/>
          </w:tcPr>
          <w:p w14:paraId="5333F8F0" w14:textId="77777777" w:rsidR="00026C3F" w:rsidRDefault="00026C3F" w:rsidP="00A62E6F">
            <w:pPr>
              <w:pStyle w:val="idwtababs"/>
            </w:pPr>
            <w:r>
              <w:rPr>
                <w:b/>
                <w:bCs w:val="0"/>
              </w:rPr>
              <w:t> </w:t>
            </w:r>
          </w:p>
        </w:tc>
        <w:tc>
          <w:tcPr>
            <w:tcW w:w="1820" w:type="dxa"/>
            <w:tcBorders>
              <w:top w:val="outset" w:sz="6" w:space="0" w:color="auto"/>
              <w:left w:val="outset" w:sz="6" w:space="0" w:color="auto"/>
              <w:bottom w:val="outset" w:sz="6" w:space="0" w:color="auto"/>
              <w:right w:val="single" w:sz="4" w:space="0" w:color="auto"/>
            </w:tcBorders>
            <w:vAlign w:val="bottom"/>
            <w:hideMark/>
          </w:tcPr>
          <w:p w14:paraId="0BE1E1C3" w14:textId="77777777" w:rsidR="00026C3F" w:rsidRDefault="00026C3F" w:rsidP="00A62E6F">
            <w:pPr>
              <w:pStyle w:val="idwtababs"/>
              <w:jc w:val="center"/>
            </w:pPr>
            <w:r>
              <w:rPr>
                <w:b/>
                <w:bCs w:val="0"/>
              </w:rPr>
              <w:t>[EUR]</w:t>
            </w:r>
          </w:p>
        </w:tc>
        <w:tc>
          <w:tcPr>
            <w:tcW w:w="1148" w:type="dxa"/>
            <w:tcBorders>
              <w:top w:val="nil"/>
              <w:left w:val="single" w:sz="4" w:space="0" w:color="auto"/>
              <w:bottom w:val="nil"/>
              <w:right w:val="nil"/>
            </w:tcBorders>
            <w:hideMark/>
          </w:tcPr>
          <w:p w14:paraId="739EAFC2" w14:textId="77777777" w:rsidR="00026C3F" w:rsidRDefault="00026C3F" w:rsidP="00A62E6F"/>
        </w:tc>
      </w:tr>
      <w:tr w:rsidR="00026C3F" w14:paraId="63FEAAF3" w14:textId="77777777" w:rsidTr="00026C3F">
        <w:trPr>
          <w:divId w:val="1932812704"/>
        </w:trPr>
        <w:tc>
          <w:tcPr>
            <w:tcW w:w="6109" w:type="dxa"/>
            <w:tcBorders>
              <w:top w:val="outset" w:sz="6" w:space="0" w:color="auto"/>
              <w:left w:val="outset" w:sz="6" w:space="0" w:color="auto"/>
              <w:bottom w:val="outset" w:sz="6" w:space="0" w:color="auto"/>
              <w:right w:val="outset" w:sz="6" w:space="0" w:color="auto"/>
            </w:tcBorders>
            <w:vAlign w:val="center"/>
            <w:hideMark/>
          </w:tcPr>
          <w:p w14:paraId="347EDD12" w14:textId="77777777" w:rsidR="00026C3F" w:rsidRDefault="00026C3F" w:rsidP="00A62E6F">
            <w:pPr>
              <w:pStyle w:val="idwtababs"/>
              <w:rPr>
                <w:rFonts w:eastAsiaTheme="minorEastAsia"/>
                <w:sz w:val="24"/>
                <w:szCs w:val="24"/>
              </w:rPr>
            </w:pPr>
            <w:r>
              <w:t>Flexibilitätszuschlag und Flexibilitätsprämie</w:t>
            </w:r>
          </w:p>
        </w:tc>
        <w:tc>
          <w:tcPr>
            <w:tcW w:w="1820" w:type="dxa"/>
            <w:tcBorders>
              <w:top w:val="outset" w:sz="6" w:space="0" w:color="auto"/>
              <w:left w:val="outset" w:sz="6" w:space="0" w:color="auto"/>
              <w:bottom w:val="outset" w:sz="6" w:space="0" w:color="auto"/>
              <w:right w:val="single" w:sz="4" w:space="0" w:color="auto"/>
            </w:tcBorders>
            <w:hideMark/>
          </w:tcPr>
          <w:p w14:paraId="01F3C3A0" w14:textId="77777777" w:rsidR="00026C3F" w:rsidRDefault="00026C3F" w:rsidP="00A62E6F">
            <w:pPr>
              <w:pStyle w:val="idwtababs"/>
            </w:pPr>
            <w:r>
              <w:t> </w:t>
            </w:r>
          </w:p>
        </w:tc>
        <w:tc>
          <w:tcPr>
            <w:tcW w:w="1148" w:type="dxa"/>
            <w:tcBorders>
              <w:top w:val="nil"/>
              <w:left w:val="single" w:sz="4" w:space="0" w:color="auto"/>
              <w:bottom w:val="nil"/>
              <w:right w:val="nil"/>
            </w:tcBorders>
            <w:vAlign w:val="center"/>
            <w:hideMark/>
          </w:tcPr>
          <w:p w14:paraId="7FA47A8F" w14:textId="77777777" w:rsidR="00026C3F" w:rsidRDefault="00026C3F" w:rsidP="00A62E6F">
            <w:pPr>
              <w:pStyle w:val="idwtababs"/>
            </w:pPr>
            <w:r>
              <w:rPr>
                <w:b/>
                <w:bCs w:val="0"/>
              </w:rPr>
              <w:t>(4)</w:t>
            </w:r>
          </w:p>
        </w:tc>
      </w:tr>
    </w:tbl>
    <w:p w14:paraId="3BF10584" w14:textId="77777777" w:rsidR="00026C3F" w:rsidRDefault="00026C3F" w:rsidP="00403E80">
      <w:pPr>
        <w:keepNext/>
        <w:spacing w:before="480" w:after="100" w:afterAutospacing="1"/>
        <w:divId w:val="1932812704"/>
        <w:rPr>
          <w:rFonts w:eastAsiaTheme="minorEastAsia"/>
        </w:rPr>
      </w:pPr>
      <w:r>
        <w:rPr>
          <w:b/>
          <w:bCs/>
        </w:rPr>
        <w:t>Finanzielle Beteiligung der Kommunen am Ausbau</w:t>
      </w:r>
    </w:p>
    <w:p w14:paraId="286D7F9B" w14:textId="77777777" w:rsidR="00026C3F" w:rsidRDefault="00026C3F" w:rsidP="00026C3F">
      <w:pPr>
        <w:spacing w:before="100" w:beforeAutospacing="1" w:after="100" w:afterAutospacing="1"/>
        <w:divId w:val="1932812704"/>
      </w:pPr>
      <w:r>
        <w:t>Die nachfolgende Tabelle gibt die von uns nach § 6 Abs. 5 EEG 2023 für das Kalenderjahr 2025 zu leistenden Erstattungen von Zahlungen, die Anlagenbetreiber an Kommunen nach § 6 Abs. 2 bis 4 EEG 2023 gezahlt haben, wieder:</w:t>
      </w:r>
    </w:p>
    <w:tbl>
      <w:tblPr>
        <w:tblW w:w="502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6114"/>
        <w:gridCol w:w="1835"/>
        <w:gridCol w:w="1149"/>
      </w:tblGrid>
      <w:tr w:rsidR="00026C3F" w14:paraId="5F2E8F86" w14:textId="77777777" w:rsidTr="00026C3F">
        <w:trPr>
          <w:divId w:val="1932812704"/>
        </w:trPr>
        <w:tc>
          <w:tcPr>
            <w:tcW w:w="6109" w:type="dxa"/>
            <w:tcBorders>
              <w:top w:val="outset" w:sz="6" w:space="0" w:color="auto"/>
              <w:left w:val="outset" w:sz="6" w:space="0" w:color="auto"/>
              <w:bottom w:val="outset" w:sz="6" w:space="0" w:color="auto"/>
              <w:right w:val="outset" w:sz="6" w:space="0" w:color="auto"/>
            </w:tcBorders>
            <w:hideMark/>
          </w:tcPr>
          <w:p w14:paraId="0BC5314F" w14:textId="77777777" w:rsidR="00026C3F" w:rsidRDefault="00026C3F" w:rsidP="00711945">
            <w:pPr>
              <w:pStyle w:val="idwtababs"/>
              <w:keepNext/>
            </w:pPr>
            <w:r>
              <w:lastRenderedPageBreak/>
              <w:t> </w:t>
            </w:r>
          </w:p>
        </w:tc>
        <w:tc>
          <w:tcPr>
            <w:tcW w:w="1834" w:type="dxa"/>
            <w:tcBorders>
              <w:top w:val="outset" w:sz="6" w:space="0" w:color="auto"/>
              <w:left w:val="outset" w:sz="6" w:space="0" w:color="auto"/>
              <w:bottom w:val="outset" w:sz="6" w:space="0" w:color="auto"/>
              <w:right w:val="single" w:sz="4" w:space="0" w:color="auto"/>
            </w:tcBorders>
            <w:vAlign w:val="bottom"/>
            <w:hideMark/>
          </w:tcPr>
          <w:p w14:paraId="27014891" w14:textId="77777777" w:rsidR="00026C3F" w:rsidRDefault="00026C3F" w:rsidP="00711945">
            <w:pPr>
              <w:pStyle w:val="idwtababs"/>
              <w:keepNext/>
              <w:jc w:val="center"/>
            </w:pPr>
            <w:r>
              <w:rPr>
                <w:b/>
                <w:bCs w:val="0"/>
              </w:rPr>
              <w:t>[EUR]</w:t>
            </w:r>
          </w:p>
        </w:tc>
        <w:tc>
          <w:tcPr>
            <w:tcW w:w="1148" w:type="dxa"/>
            <w:tcBorders>
              <w:top w:val="nil"/>
              <w:left w:val="single" w:sz="4" w:space="0" w:color="auto"/>
              <w:bottom w:val="nil"/>
              <w:right w:val="nil"/>
            </w:tcBorders>
            <w:hideMark/>
          </w:tcPr>
          <w:p w14:paraId="7749A43C" w14:textId="77777777" w:rsidR="00026C3F" w:rsidRDefault="00026C3F" w:rsidP="00711945">
            <w:pPr>
              <w:keepNext/>
            </w:pPr>
          </w:p>
        </w:tc>
      </w:tr>
      <w:tr w:rsidR="00026C3F" w14:paraId="7DF45DEC" w14:textId="77777777" w:rsidTr="00026C3F">
        <w:trPr>
          <w:divId w:val="1932812704"/>
        </w:trPr>
        <w:tc>
          <w:tcPr>
            <w:tcW w:w="6109" w:type="dxa"/>
            <w:tcBorders>
              <w:top w:val="outset" w:sz="6" w:space="0" w:color="auto"/>
              <w:left w:val="outset" w:sz="6" w:space="0" w:color="auto"/>
              <w:bottom w:val="outset" w:sz="6" w:space="0" w:color="auto"/>
              <w:right w:val="outset" w:sz="6" w:space="0" w:color="auto"/>
            </w:tcBorders>
            <w:vAlign w:val="center"/>
            <w:hideMark/>
          </w:tcPr>
          <w:p w14:paraId="18450018" w14:textId="77777777" w:rsidR="00026C3F" w:rsidRDefault="00026C3F" w:rsidP="00711945">
            <w:pPr>
              <w:pStyle w:val="idwtababs"/>
              <w:keepNext/>
              <w:rPr>
                <w:rFonts w:eastAsiaTheme="minorEastAsia"/>
                <w:sz w:val="24"/>
                <w:szCs w:val="24"/>
              </w:rPr>
            </w:pPr>
            <w:r>
              <w:t>Freiflächenanlagen</w:t>
            </w:r>
          </w:p>
        </w:tc>
        <w:tc>
          <w:tcPr>
            <w:tcW w:w="1834" w:type="dxa"/>
            <w:tcBorders>
              <w:top w:val="outset" w:sz="6" w:space="0" w:color="auto"/>
              <w:left w:val="outset" w:sz="6" w:space="0" w:color="auto"/>
              <w:bottom w:val="outset" w:sz="6" w:space="0" w:color="auto"/>
              <w:right w:val="single" w:sz="4" w:space="0" w:color="auto"/>
            </w:tcBorders>
            <w:hideMark/>
          </w:tcPr>
          <w:p w14:paraId="2A21483A" w14:textId="77777777" w:rsidR="00026C3F" w:rsidRDefault="00026C3F" w:rsidP="00711945">
            <w:pPr>
              <w:pStyle w:val="idwtababs"/>
              <w:keepNext/>
            </w:pPr>
            <w:r>
              <w:t> </w:t>
            </w:r>
          </w:p>
        </w:tc>
        <w:tc>
          <w:tcPr>
            <w:tcW w:w="1148" w:type="dxa"/>
            <w:tcBorders>
              <w:top w:val="nil"/>
              <w:left w:val="single" w:sz="4" w:space="0" w:color="auto"/>
              <w:bottom w:val="nil"/>
              <w:right w:val="nil"/>
            </w:tcBorders>
            <w:vAlign w:val="center"/>
            <w:hideMark/>
          </w:tcPr>
          <w:p w14:paraId="59DC92B0" w14:textId="77777777" w:rsidR="00026C3F" w:rsidRDefault="00026C3F" w:rsidP="00711945">
            <w:pPr>
              <w:keepNext/>
            </w:pPr>
          </w:p>
        </w:tc>
      </w:tr>
      <w:tr w:rsidR="00026C3F" w14:paraId="37F0BAD5" w14:textId="77777777" w:rsidTr="00026C3F">
        <w:trPr>
          <w:divId w:val="1932812704"/>
        </w:trPr>
        <w:tc>
          <w:tcPr>
            <w:tcW w:w="6109" w:type="dxa"/>
            <w:tcBorders>
              <w:top w:val="outset" w:sz="6" w:space="0" w:color="auto"/>
              <w:left w:val="outset" w:sz="6" w:space="0" w:color="auto"/>
              <w:bottom w:val="single" w:sz="4" w:space="0" w:color="auto"/>
              <w:right w:val="outset" w:sz="6" w:space="0" w:color="auto"/>
            </w:tcBorders>
            <w:vAlign w:val="center"/>
            <w:hideMark/>
          </w:tcPr>
          <w:p w14:paraId="22C42DD5" w14:textId="77777777" w:rsidR="00026C3F" w:rsidRDefault="00026C3F" w:rsidP="00711945">
            <w:pPr>
              <w:pStyle w:val="idwtababs"/>
              <w:keepNext/>
              <w:rPr>
                <w:rFonts w:eastAsiaTheme="minorEastAsia"/>
                <w:sz w:val="24"/>
                <w:szCs w:val="24"/>
              </w:rPr>
            </w:pPr>
            <w:r>
              <w:t>Windenergieanlagen an Land</w:t>
            </w:r>
          </w:p>
        </w:tc>
        <w:tc>
          <w:tcPr>
            <w:tcW w:w="1834" w:type="dxa"/>
            <w:tcBorders>
              <w:top w:val="outset" w:sz="6" w:space="0" w:color="auto"/>
              <w:left w:val="outset" w:sz="6" w:space="0" w:color="auto"/>
              <w:bottom w:val="outset" w:sz="6" w:space="0" w:color="auto"/>
              <w:right w:val="single" w:sz="4" w:space="0" w:color="auto"/>
            </w:tcBorders>
            <w:hideMark/>
          </w:tcPr>
          <w:p w14:paraId="5B1F0B09" w14:textId="77777777" w:rsidR="00026C3F" w:rsidRDefault="00026C3F" w:rsidP="00711945">
            <w:pPr>
              <w:pStyle w:val="idwtababs"/>
              <w:keepNext/>
            </w:pPr>
            <w:r>
              <w:t> </w:t>
            </w:r>
          </w:p>
        </w:tc>
        <w:tc>
          <w:tcPr>
            <w:tcW w:w="1148" w:type="dxa"/>
            <w:tcBorders>
              <w:top w:val="nil"/>
              <w:left w:val="single" w:sz="4" w:space="0" w:color="auto"/>
              <w:bottom w:val="nil"/>
              <w:right w:val="nil"/>
            </w:tcBorders>
            <w:vAlign w:val="center"/>
            <w:hideMark/>
          </w:tcPr>
          <w:p w14:paraId="50F73D1F" w14:textId="77777777" w:rsidR="00026C3F" w:rsidRDefault="00026C3F" w:rsidP="00711945">
            <w:pPr>
              <w:keepNext/>
            </w:pPr>
          </w:p>
        </w:tc>
      </w:tr>
      <w:tr w:rsidR="00026C3F" w14:paraId="18C2542D" w14:textId="77777777" w:rsidTr="00026C3F">
        <w:trPr>
          <w:divId w:val="1932812704"/>
        </w:trPr>
        <w:tc>
          <w:tcPr>
            <w:tcW w:w="6109" w:type="dxa"/>
            <w:tcBorders>
              <w:top w:val="single" w:sz="4" w:space="0" w:color="auto"/>
              <w:left w:val="nil"/>
              <w:bottom w:val="nil"/>
              <w:right w:val="single" w:sz="4" w:space="0" w:color="auto"/>
            </w:tcBorders>
            <w:vAlign w:val="center"/>
            <w:hideMark/>
          </w:tcPr>
          <w:p w14:paraId="293C5ECA" w14:textId="77777777" w:rsidR="00026C3F" w:rsidRDefault="00026C3F" w:rsidP="00A62E6F">
            <w:pPr>
              <w:pStyle w:val="idwtababs"/>
              <w:rPr>
                <w:rFonts w:eastAsiaTheme="minorEastAsia"/>
                <w:sz w:val="24"/>
                <w:szCs w:val="24"/>
              </w:rPr>
            </w:pPr>
            <w:r>
              <w:rPr>
                <w:b/>
                <w:bCs w:val="0"/>
              </w:rPr>
              <w:t>Summe:</w:t>
            </w:r>
          </w:p>
        </w:tc>
        <w:tc>
          <w:tcPr>
            <w:tcW w:w="1834" w:type="dxa"/>
            <w:tcBorders>
              <w:top w:val="outset" w:sz="6" w:space="0" w:color="auto"/>
              <w:left w:val="single" w:sz="4" w:space="0" w:color="auto"/>
              <w:bottom w:val="outset" w:sz="6" w:space="0" w:color="auto"/>
              <w:right w:val="single" w:sz="4" w:space="0" w:color="auto"/>
            </w:tcBorders>
            <w:hideMark/>
          </w:tcPr>
          <w:p w14:paraId="0C0D23F5" w14:textId="77777777" w:rsidR="00026C3F" w:rsidRDefault="00026C3F" w:rsidP="00A62E6F">
            <w:pPr>
              <w:pStyle w:val="idwtababs"/>
            </w:pPr>
            <w:r>
              <w:t> </w:t>
            </w:r>
          </w:p>
        </w:tc>
        <w:tc>
          <w:tcPr>
            <w:tcW w:w="1148" w:type="dxa"/>
            <w:tcBorders>
              <w:top w:val="nil"/>
              <w:left w:val="single" w:sz="4" w:space="0" w:color="auto"/>
              <w:bottom w:val="nil"/>
              <w:right w:val="nil"/>
            </w:tcBorders>
            <w:vAlign w:val="center"/>
            <w:hideMark/>
          </w:tcPr>
          <w:p w14:paraId="6F2926CC" w14:textId="77777777" w:rsidR="00026C3F" w:rsidRDefault="00026C3F" w:rsidP="00A62E6F">
            <w:pPr>
              <w:pStyle w:val="idwtababs"/>
            </w:pPr>
            <w:r>
              <w:rPr>
                <w:b/>
                <w:bCs w:val="0"/>
              </w:rPr>
              <w:t>(5)</w:t>
            </w:r>
          </w:p>
        </w:tc>
      </w:tr>
    </w:tbl>
    <w:p w14:paraId="722403C2" w14:textId="77777777" w:rsidR="00026C3F" w:rsidRDefault="00026C3F" w:rsidP="00711945">
      <w:pPr>
        <w:keepNext/>
        <w:spacing w:before="480" w:after="100" w:afterAutospacing="1"/>
        <w:divId w:val="1932812704"/>
        <w:rPr>
          <w:rFonts w:eastAsiaTheme="minorEastAsia"/>
        </w:rPr>
      </w:pPr>
      <w:r>
        <w:rPr>
          <w:b/>
          <w:bCs/>
        </w:rPr>
        <w:t>Projektsicherungsbeitrag</w:t>
      </w:r>
    </w:p>
    <w:p w14:paraId="6AB11944" w14:textId="77777777" w:rsidR="00026C3F" w:rsidRDefault="00026C3F" w:rsidP="00026C3F">
      <w:pPr>
        <w:spacing w:before="100" w:beforeAutospacing="1" w:after="100" w:afterAutospacing="1"/>
        <w:divId w:val="1932812704"/>
      </w:pPr>
      <w:r>
        <w:t>Die nachfolgende Tabelle gibt die von uns nach § 38d Abs. 6 EEG 2023 zu leistenden Erstattungen des Projektsicherungsbeitrages für im Kalenderjahr 2025 in Betrieb genommene Solaranlagen des zweiten Segments wieder:</w:t>
      </w:r>
    </w:p>
    <w:tbl>
      <w:tblPr>
        <w:tblW w:w="5051"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6093"/>
        <w:gridCol w:w="1856"/>
        <w:gridCol w:w="1205"/>
      </w:tblGrid>
      <w:tr w:rsidR="00026C3F" w14:paraId="33E419F2" w14:textId="77777777" w:rsidTr="00026C3F">
        <w:trPr>
          <w:divId w:val="1932812704"/>
        </w:trPr>
        <w:tc>
          <w:tcPr>
            <w:tcW w:w="6088" w:type="dxa"/>
            <w:tcBorders>
              <w:top w:val="outset" w:sz="6" w:space="0" w:color="auto"/>
              <w:left w:val="outset" w:sz="6" w:space="0" w:color="auto"/>
              <w:bottom w:val="outset" w:sz="6" w:space="0" w:color="auto"/>
              <w:right w:val="outset" w:sz="6" w:space="0" w:color="auto"/>
            </w:tcBorders>
            <w:hideMark/>
          </w:tcPr>
          <w:p w14:paraId="27234635" w14:textId="77777777" w:rsidR="00026C3F" w:rsidRDefault="00026C3F" w:rsidP="00A62E6F">
            <w:pPr>
              <w:pStyle w:val="idwtababs"/>
            </w:pPr>
            <w:r>
              <w:rPr>
                <w:b/>
                <w:bCs w:val="0"/>
              </w:rPr>
              <w:t> </w:t>
            </w:r>
          </w:p>
        </w:tc>
        <w:tc>
          <w:tcPr>
            <w:tcW w:w="1855" w:type="dxa"/>
            <w:tcBorders>
              <w:top w:val="outset" w:sz="6" w:space="0" w:color="auto"/>
              <w:left w:val="outset" w:sz="6" w:space="0" w:color="auto"/>
              <w:bottom w:val="outset" w:sz="6" w:space="0" w:color="auto"/>
              <w:right w:val="single" w:sz="4" w:space="0" w:color="auto"/>
            </w:tcBorders>
            <w:vAlign w:val="bottom"/>
            <w:hideMark/>
          </w:tcPr>
          <w:p w14:paraId="0F492670" w14:textId="77777777" w:rsidR="00026C3F" w:rsidRDefault="00026C3F" w:rsidP="00A62E6F">
            <w:pPr>
              <w:pStyle w:val="idwtababs"/>
              <w:jc w:val="center"/>
            </w:pPr>
            <w:r>
              <w:rPr>
                <w:b/>
                <w:bCs w:val="0"/>
              </w:rPr>
              <w:t>[EUR]</w:t>
            </w:r>
          </w:p>
        </w:tc>
        <w:tc>
          <w:tcPr>
            <w:tcW w:w="1204" w:type="dxa"/>
            <w:tcBorders>
              <w:top w:val="nil"/>
              <w:left w:val="single" w:sz="4" w:space="0" w:color="auto"/>
              <w:bottom w:val="nil"/>
              <w:right w:val="nil"/>
            </w:tcBorders>
            <w:hideMark/>
          </w:tcPr>
          <w:p w14:paraId="04545F99" w14:textId="77777777" w:rsidR="00026C3F" w:rsidRDefault="00026C3F" w:rsidP="00A62E6F"/>
        </w:tc>
      </w:tr>
      <w:tr w:rsidR="00026C3F" w14:paraId="3AA63521" w14:textId="77777777" w:rsidTr="00026C3F">
        <w:trPr>
          <w:divId w:val="1932812704"/>
        </w:trPr>
        <w:tc>
          <w:tcPr>
            <w:tcW w:w="6088" w:type="dxa"/>
            <w:tcBorders>
              <w:top w:val="outset" w:sz="6" w:space="0" w:color="auto"/>
              <w:left w:val="outset" w:sz="6" w:space="0" w:color="auto"/>
              <w:bottom w:val="outset" w:sz="6" w:space="0" w:color="auto"/>
              <w:right w:val="outset" w:sz="6" w:space="0" w:color="auto"/>
            </w:tcBorders>
            <w:vAlign w:val="center"/>
            <w:hideMark/>
          </w:tcPr>
          <w:p w14:paraId="50C41694" w14:textId="77777777" w:rsidR="00026C3F" w:rsidRDefault="00026C3F" w:rsidP="00A62E6F">
            <w:pPr>
              <w:pStyle w:val="idwtababs"/>
              <w:rPr>
                <w:rFonts w:eastAsiaTheme="minorEastAsia"/>
                <w:sz w:val="24"/>
                <w:szCs w:val="24"/>
              </w:rPr>
            </w:pPr>
            <w:r>
              <w:t>Projektsicherungsbeitrag</w:t>
            </w:r>
          </w:p>
        </w:tc>
        <w:tc>
          <w:tcPr>
            <w:tcW w:w="1855" w:type="dxa"/>
            <w:tcBorders>
              <w:top w:val="outset" w:sz="6" w:space="0" w:color="auto"/>
              <w:left w:val="outset" w:sz="6" w:space="0" w:color="auto"/>
              <w:bottom w:val="outset" w:sz="6" w:space="0" w:color="auto"/>
              <w:right w:val="single" w:sz="4" w:space="0" w:color="auto"/>
            </w:tcBorders>
            <w:hideMark/>
          </w:tcPr>
          <w:p w14:paraId="0DA3186A" w14:textId="77777777" w:rsidR="00026C3F" w:rsidRDefault="00026C3F" w:rsidP="00A62E6F">
            <w:pPr>
              <w:pStyle w:val="idwtababs"/>
            </w:pPr>
            <w:r>
              <w:t> </w:t>
            </w:r>
          </w:p>
        </w:tc>
        <w:tc>
          <w:tcPr>
            <w:tcW w:w="1204" w:type="dxa"/>
            <w:tcBorders>
              <w:top w:val="nil"/>
              <w:left w:val="single" w:sz="4" w:space="0" w:color="auto"/>
              <w:bottom w:val="nil"/>
              <w:right w:val="nil"/>
            </w:tcBorders>
            <w:vAlign w:val="center"/>
            <w:hideMark/>
          </w:tcPr>
          <w:p w14:paraId="44EC5C85" w14:textId="77777777" w:rsidR="00026C3F" w:rsidRDefault="00026C3F" w:rsidP="00A62E6F">
            <w:pPr>
              <w:pStyle w:val="idwtababs"/>
            </w:pPr>
            <w:r>
              <w:rPr>
                <w:b/>
                <w:bCs w:val="0"/>
              </w:rPr>
              <w:t>(6)</w:t>
            </w:r>
          </w:p>
        </w:tc>
      </w:tr>
    </w:tbl>
    <w:p w14:paraId="15511286" w14:textId="77777777" w:rsidR="00026C3F" w:rsidRDefault="00026C3F" w:rsidP="00711945">
      <w:pPr>
        <w:keepNext/>
        <w:spacing w:before="480" w:after="100" w:afterAutospacing="1"/>
        <w:divId w:val="1932812704"/>
        <w:rPr>
          <w:rFonts w:eastAsiaTheme="minorEastAsia"/>
        </w:rPr>
      </w:pPr>
      <w:r>
        <w:rPr>
          <w:b/>
          <w:bCs/>
        </w:rPr>
        <w:t>Zahlungsansprüche bei Pflichtverstößen</w:t>
      </w:r>
    </w:p>
    <w:p w14:paraId="624068DB" w14:textId="77777777" w:rsidR="00026C3F" w:rsidRDefault="00026C3F" w:rsidP="00026C3F">
      <w:pPr>
        <w:spacing w:before="100" w:beforeAutospacing="1" w:after="100" w:afterAutospacing="1"/>
        <w:divId w:val="1932812704"/>
      </w:pPr>
      <w:r>
        <w:t>Die nachfolgende Tabelle gibt die an uns von Anlagenbetreibern zu leistenden Zahlungen bei Pflichtverstößen nach § 52 Abs. 1 bis 7 EEG 2023 für den Zeitraum vom … [</w:t>
      </w:r>
      <w:r>
        <w:rPr>
          <w:i/>
          <w:iCs/>
        </w:rPr>
        <w:t>Datum 2025</w:t>
      </w:r>
      <w:r>
        <w:t>] bis … [</w:t>
      </w:r>
      <w:r>
        <w:rPr>
          <w:i/>
          <w:iCs/>
        </w:rPr>
        <w:t>Datum 2025</w:t>
      </w:r>
      <w:r>
        <w:t>] wieder. Dabei sind auch Erstattungen an Anlagenbetreiber aufgrund von Verringerungen nach § 52 Abs. 3 Satz 1 EEG 2023 berücksichtigt, die sich auf in Vorjahren sanktionierte Pflichtverstöße beziehen. Gemäß der Veröffentlichung der Übertragungsnetzbetreiber zu den EEG</w:t>
      </w:r>
      <w:r>
        <w:rPr>
          <w:rStyle w:val="Funotenzeichen"/>
        </w:rPr>
        <w:footnoteReference w:id="2"/>
      </w:r>
      <w:r>
        <w:t>- und KWKG</w:t>
      </w:r>
      <w:r>
        <w:rPr>
          <w:rStyle w:val="Funotenzeichen"/>
        </w:rPr>
        <w:footnoteReference w:id="3"/>
      </w:r>
      <w:r>
        <w:t>-Vergütungskategorien enthält die nachfolgende Tabelle nicht die an uns von Betreibern von KWK-Anlagen zu leistenden Zahlungen bei Pflichtverstößen nach § 52 Abs. 8 EEG 2023. Sofern zu leistende Zahlungen von Anlagenbetreibern für Pflichtverstöße zu berücksichtigen sind, sind die vom Anlagenbetreiber zu leistenden Zahlungen mit positivem Vorzeichen anzugeben. Andernfalls sind die Beträge mit negativem Vorzeichen anzugeben:</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5937"/>
        <w:gridCol w:w="1895"/>
        <w:gridCol w:w="1230"/>
      </w:tblGrid>
      <w:tr w:rsidR="00026C3F" w14:paraId="29446229" w14:textId="77777777" w:rsidTr="00026C3F">
        <w:trPr>
          <w:divId w:val="1932812704"/>
          <w:tblHeader/>
        </w:trPr>
        <w:tc>
          <w:tcPr>
            <w:tcW w:w="5932" w:type="dxa"/>
            <w:tcBorders>
              <w:top w:val="outset" w:sz="6" w:space="0" w:color="auto"/>
              <w:left w:val="outset" w:sz="6" w:space="0" w:color="auto"/>
              <w:bottom w:val="outset" w:sz="6" w:space="0" w:color="auto"/>
              <w:right w:val="outset" w:sz="6" w:space="0" w:color="auto"/>
            </w:tcBorders>
            <w:vAlign w:val="bottom"/>
            <w:hideMark/>
          </w:tcPr>
          <w:p w14:paraId="5C039304" w14:textId="77777777" w:rsidR="00026C3F" w:rsidRDefault="00026C3F" w:rsidP="00711945">
            <w:pPr>
              <w:pStyle w:val="idwtababs"/>
              <w:keepLines/>
            </w:pPr>
            <w:r>
              <w:rPr>
                <w:b/>
                <w:bCs w:val="0"/>
              </w:rPr>
              <w:lastRenderedPageBreak/>
              <w:t>Energieträger</w:t>
            </w:r>
          </w:p>
        </w:tc>
        <w:tc>
          <w:tcPr>
            <w:tcW w:w="1893" w:type="dxa"/>
            <w:tcBorders>
              <w:top w:val="outset" w:sz="6" w:space="0" w:color="auto"/>
              <w:left w:val="outset" w:sz="6" w:space="0" w:color="auto"/>
              <w:bottom w:val="outset" w:sz="6" w:space="0" w:color="auto"/>
              <w:right w:val="single" w:sz="4" w:space="0" w:color="auto"/>
            </w:tcBorders>
            <w:vAlign w:val="bottom"/>
            <w:hideMark/>
          </w:tcPr>
          <w:p w14:paraId="102BEB27" w14:textId="77777777" w:rsidR="00026C3F" w:rsidRDefault="00026C3F" w:rsidP="00711945">
            <w:pPr>
              <w:pStyle w:val="idwtababs"/>
              <w:keepLines/>
              <w:jc w:val="center"/>
            </w:pPr>
            <w:r>
              <w:rPr>
                <w:b/>
                <w:bCs w:val="0"/>
              </w:rPr>
              <w:t>[EUR]</w:t>
            </w:r>
          </w:p>
        </w:tc>
        <w:tc>
          <w:tcPr>
            <w:tcW w:w="1229" w:type="dxa"/>
            <w:tcBorders>
              <w:top w:val="nil"/>
              <w:left w:val="single" w:sz="4" w:space="0" w:color="auto"/>
              <w:bottom w:val="nil"/>
              <w:right w:val="nil"/>
            </w:tcBorders>
            <w:hideMark/>
          </w:tcPr>
          <w:p w14:paraId="7FE903D1" w14:textId="77777777" w:rsidR="00026C3F" w:rsidRDefault="00026C3F" w:rsidP="00711945">
            <w:pPr>
              <w:keepLines/>
            </w:pPr>
          </w:p>
        </w:tc>
      </w:tr>
      <w:tr w:rsidR="00026C3F" w14:paraId="4244CCBA" w14:textId="77777777" w:rsidTr="00026C3F">
        <w:trPr>
          <w:divId w:val="1932812704"/>
        </w:trPr>
        <w:tc>
          <w:tcPr>
            <w:tcW w:w="5932" w:type="dxa"/>
            <w:tcBorders>
              <w:top w:val="outset" w:sz="6" w:space="0" w:color="auto"/>
              <w:left w:val="outset" w:sz="6" w:space="0" w:color="auto"/>
              <w:bottom w:val="outset" w:sz="6" w:space="0" w:color="auto"/>
              <w:right w:val="outset" w:sz="6" w:space="0" w:color="auto"/>
            </w:tcBorders>
            <w:vAlign w:val="center"/>
            <w:hideMark/>
          </w:tcPr>
          <w:p w14:paraId="3F7694D6" w14:textId="77777777" w:rsidR="00026C3F" w:rsidRDefault="00026C3F" w:rsidP="00711945">
            <w:pPr>
              <w:pStyle w:val="idwtababs"/>
              <w:keepLines/>
              <w:rPr>
                <w:rFonts w:eastAsiaTheme="minorEastAsia"/>
                <w:sz w:val="24"/>
                <w:szCs w:val="24"/>
              </w:rPr>
            </w:pPr>
            <w:r>
              <w:t>Wasserkraft</w:t>
            </w:r>
          </w:p>
        </w:tc>
        <w:tc>
          <w:tcPr>
            <w:tcW w:w="1893" w:type="dxa"/>
            <w:tcBorders>
              <w:top w:val="outset" w:sz="6" w:space="0" w:color="auto"/>
              <w:left w:val="outset" w:sz="6" w:space="0" w:color="auto"/>
              <w:bottom w:val="outset" w:sz="6" w:space="0" w:color="auto"/>
              <w:right w:val="single" w:sz="4" w:space="0" w:color="auto"/>
            </w:tcBorders>
            <w:hideMark/>
          </w:tcPr>
          <w:p w14:paraId="4338BCB2" w14:textId="77777777" w:rsidR="00026C3F" w:rsidRDefault="00026C3F" w:rsidP="00711945">
            <w:pPr>
              <w:pStyle w:val="idwtababs"/>
              <w:keepLines/>
            </w:pPr>
            <w:r>
              <w:t> </w:t>
            </w:r>
          </w:p>
        </w:tc>
        <w:tc>
          <w:tcPr>
            <w:tcW w:w="1229" w:type="dxa"/>
            <w:tcBorders>
              <w:top w:val="nil"/>
              <w:left w:val="single" w:sz="4" w:space="0" w:color="auto"/>
              <w:bottom w:val="nil"/>
              <w:right w:val="nil"/>
            </w:tcBorders>
            <w:hideMark/>
          </w:tcPr>
          <w:p w14:paraId="72ABC22A" w14:textId="77777777" w:rsidR="00026C3F" w:rsidRDefault="00026C3F" w:rsidP="00711945">
            <w:pPr>
              <w:keepLines/>
            </w:pPr>
          </w:p>
        </w:tc>
      </w:tr>
      <w:tr w:rsidR="00026C3F" w14:paraId="629D98D3" w14:textId="77777777" w:rsidTr="00026C3F">
        <w:trPr>
          <w:divId w:val="1932812704"/>
        </w:trPr>
        <w:tc>
          <w:tcPr>
            <w:tcW w:w="5932" w:type="dxa"/>
            <w:tcBorders>
              <w:top w:val="outset" w:sz="6" w:space="0" w:color="auto"/>
              <w:left w:val="outset" w:sz="6" w:space="0" w:color="auto"/>
              <w:bottom w:val="outset" w:sz="6" w:space="0" w:color="auto"/>
              <w:right w:val="outset" w:sz="6" w:space="0" w:color="auto"/>
            </w:tcBorders>
            <w:vAlign w:val="center"/>
            <w:hideMark/>
          </w:tcPr>
          <w:p w14:paraId="646EE4FE" w14:textId="77777777" w:rsidR="00026C3F" w:rsidRDefault="00026C3F" w:rsidP="00A62E6F">
            <w:pPr>
              <w:pStyle w:val="idwtababs"/>
              <w:rPr>
                <w:rFonts w:eastAsiaTheme="minorEastAsia"/>
                <w:sz w:val="24"/>
                <w:szCs w:val="24"/>
              </w:rPr>
            </w:pPr>
            <w:r>
              <w:t>Deponie-, Klär-, Grubengas</w:t>
            </w:r>
          </w:p>
        </w:tc>
        <w:tc>
          <w:tcPr>
            <w:tcW w:w="1893" w:type="dxa"/>
            <w:tcBorders>
              <w:top w:val="outset" w:sz="6" w:space="0" w:color="auto"/>
              <w:left w:val="outset" w:sz="6" w:space="0" w:color="auto"/>
              <w:bottom w:val="outset" w:sz="6" w:space="0" w:color="auto"/>
              <w:right w:val="single" w:sz="4" w:space="0" w:color="auto"/>
            </w:tcBorders>
            <w:hideMark/>
          </w:tcPr>
          <w:p w14:paraId="0D53D3EC" w14:textId="77777777" w:rsidR="00026C3F" w:rsidRDefault="00026C3F" w:rsidP="00A62E6F">
            <w:pPr>
              <w:pStyle w:val="idwtababs"/>
            </w:pPr>
            <w:r>
              <w:t> </w:t>
            </w:r>
          </w:p>
        </w:tc>
        <w:tc>
          <w:tcPr>
            <w:tcW w:w="1229" w:type="dxa"/>
            <w:tcBorders>
              <w:top w:val="nil"/>
              <w:left w:val="single" w:sz="4" w:space="0" w:color="auto"/>
              <w:bottom w:val="nil"/>
              <w:right w:val="nil"/>
            </w:tcBorders>
            <w:hideMark/>
          </w:tcPr>
          <w:p w14:paraId="63F5AA92" w14:textId="77777777" w:rsidR="00026C3F" w:rsidRDefault="00026C3F" w:rsidP="00A62E6F"/>
        </w:tc>
      </w:tr>
      <w:tr w:rsidR="00026C3F" w14:paraId="4D1F9606" w14:textId="77777777" w:rsidTr="00026C3F">
        <w:trPr>
          <w:divId w:val="1932812704"/>
        </w:trPr>
        <w:tc>
          <w:tcPr>
            <w:tcW w:w="5932" w:type="dxa"/>
            <w:tcBorders>
              <w:top w:val="outset" w:sz="6" w:space="0" w:color="auto"/>
              <w:left w:val="outset" w:sz="6" w:space="0" w:color="auto"/>
              <w:bottom w:val="outset" w:sz="6" w:space="0" w:color="auto"/>
              <w:right w:val="outset" w:sz="6" w:space="0" w:color="auto"/>
            </w:tcBorders>
            <w:vAlign w:val="center"/>
            <w:hideMark/>
          </w:tcPr>
          <w:p w14:paraId="52FCC52C" w14:textId="77777777" w:rsidR="00026C3F" w:rsidRDefault="00026C3F" w:rsidP="00A62E6F">
            <w:pPr>
              <w:pStyle w:val="idwtababs"/>
              <w:rPr>
                <w:rFonts w:eastAsiaTheme="minorEastAsia"/>
                <w:sz w:val="24"/>
                <w:szCs w:val="24"/>
              </w:rPr>
            </w:pPr>
            <w:r>
              <w:t>Biomasse</w:t>
            </w:r>
          </w:p>
        </w:tc>
        <w:tc>
          <w:tcPr>
            <w:tcW w:w="1893" w:type="dxa"/>
            <w:tcBorders>
              <w:top w:val="outset" w:sz="6" w:space="0" w:color="auto"/>
              <w:left w:val="outset" w:sz="6" w:space="0" w:color="auto"/>
              <w:bottom w:val="outset" w:sz="6" w:space="0" w:color="auto"/>
              <w:right w:val="single" w:sz="4" w:space="0" w:color="auto"/>
            </w:tcBorders>
            <w:hideMark/>
          </w:tcPr>
          <w:p w14:paraId="4624FFC0" w14:textId="77777777" w:rsidR="00026C3F" w:rsidRDefault="00026C3F" w:rsidP="00A62E6F">
            <w:pPr>
              <w:pStyle w:val="idwtababs"/>
            </w:pPr>
            <w:r>
              <w:t> </w:t>
            </w:r>
          </w:p>
        </w:tc>
        <w:tc>
          <w:tcPr>
            <w:tcW w:w="1229" w:type="dxa"/>
            <w:tcBorders>
              <w:top w:val="nil"/>
              <w:left w:val="single" w:sz="4" w:space="0" w:color="auto"/>
              <w:bottom w:val="nil"/>
              <w:right w:val="nil"/>
            </w:tcBorders>
            <w:hideMark/>
          </w:tcPr>
          <w:p w14:paraId="14744FA1" w14:textId="77777777" w:rsidR="00026C3F" w:rsidRDefault="00026C3F" w:rsidP="00A62E6F"/>
        </w:tc>
      </w:tr>
      <w:tr w:rsidR="00026C3F" w14:paraId="7D07F884" w14:textId="77777777" w:rsidTr="00026C3F">
        <w:trPr>
          <w:divId w:val="1932812704"/>
        </w:trPr>
        <w:tc>
          <w:tcPr>
            <w:tcW w:w="5932" w:type="dxa"/>
            <w:tcBorders>
              <w:top w:val="outset" w:sz="6" w:space="0" w:color="auto"/>
              <w:left w:val="outset" w:sz="6" w:space="0" w:color="auto"/>
              <w:bottom w:val="outset" w:sz="6" w:space="0" w:color="auto"/>
              <w:right w:val="outset" w:sz="6" w:space="0" w:color="auto"/>
            </w:tcBorders>
            <w:vAlign w:val="center"/>
            <w:hideMark/>
          </w:tcPr>
          <w:p w14:paraId="4FCB4968" w14:textId="77777777" w:rsidR="00026C3F" w:rsidRDefault="00026C3F" w:rsidP="00A62E6F">
            <w:pPr>
              <w:pStyle w:val="idwtababs"/>
              <w:rPr>
                <w:rFonts w:eastAsiaTheme="minorEastAsia"/>
                <w:sz w:val="24"/>
                <w:szCs w:val="24"/>
              </w:rPr>
            </w:pPr>
            <w:r>
              <w:t>Geothermie</w:t>
            </w:r>
          </w:p>
        </w:tc>
        <w:tc>
          <w:tcPr>
            <w:tcW w:w="1893" w:type="dxa"/>
            <w:tcBorders>
              <w:top w:val="outset" w:sz="6" w:space="0" w:color="auto"/>
              <w:left w:val="outset" w:sz="6" w:space="0" w:color="auto"/>
              <w:bottom w:val="outset" w:sz="6" w:space="0" w:color="auto"/>
              <w:right w:val="single" w:sz="4" w:space="0" w:color="auto"/>
            </w:tcBorders>
            <w:hideMark/>
          </w:tcPr>
          <w:p w14:paraId="44CC03D5" w14:textId="77777777" w:rsidR="00026C3F" w:rsidRDefault="00026C3F" w:rsidP="00A62E6F">
            <w:pPr>
              <w:pStyle w:val="idwtababs"/>
            </w:pPr>
            <w:r>
              <w:t> </w:t>
            </w:r>
          </w:p>
        </w:tc>
        <w:tc>
          <w:tcPr>
            <w:tcW w:w="1229" w:type="dxa"/>
            <w:tcBorders>
              <w:top w:val="nil"/>
              <w:left w:val="single" w:sz="4" w:space="0" w:color="auto"/>
              <w:bottom w:val="nil"/>
              <w:right w:val="nil"/>
            </w:tcBorders>
            <w:hideMark/>
          </w:tcPr>
          <w:p w14:paraId="61BBCF2E" w14:textId="77777777" w:rsidR="00026C3F" w:rsidRDefault="00026C3F" w:rsidP="00A62E6F"/>
        </w:tc>
      </w:tr>
      <w:tr w:rsidR="00026C3F" w14:paraId="6CD4E504" w14:textId="77777777" w:rsidTr="00026C3F">
        <w:trPr>
          <w:divId w:val="1932812704"/>
        </w:trPr>
        <w:tc>
          <w:tcPr>
            <w:tcW w:w="5932" w:type="dxa"/>
            <w:tcBorders>
              <w:top w:val="outset" w:sz="6" w:space="0" w:color="auto"/>
              <w:left w:val="outset" w:sz="6" w:space="0" w:color="auto"/>
              <w:bottom w:val="outset" w:sz="6" w:space="0" w:color="auto"/>
              <w:right w:val="outset" w:sz="6" w:space="0" w:color="auto"/>
            </w:tcBorders>
            <w:vAlign w:val="center"/>
            <w:hideMark/>
          </w:tcPr>
          <w:p w14:paraId="35D5D3DE" w14:textId="77777777" w:rsidR="00026C3F" w:rsidRDefault="00026C3F" w:rsidP="00A62E6F">
            <w:pPr>
              <w:pStyle w:val="idwtababs"/>
              <w:rPr>
                <w:rFonts w:eastAsiaTheme="minorEastAsia"/>
                <w:sz w:val="24"/>
                <w:szCs w:val="24"/>
              </w:rPr>
            </w:pPr>
            <w:r>
              <w:t>Windenergie an Land</w:t>
            </w:r>
          </w:p>
        </w:tc>
        <w:tc>
          <w:tcPr>
            <w:tcW w:w="1893" w:type="dxa"/>
            <w:tcBorders>
              <w:top w:val="outset" w:sz="6" w:space="0" w:color="auto"/>
              <w:left w:val="outset" w:sz="6" w:space="0" w:color="auto"/>
              <w:bottom w:val="outset" w:sz="6" w:space="0" w:color="auto"/>
              <w:right w:val="single" w:sz="4" w:space="0" w:color="auto"/>
            </w:tcBorders>
            <w:hideMark/>
          </w:tcPr>
          <w:p w14:paraId="672DC57C" w14:textId="77777777" w:rsidR="00026C3F" w:rsidRDefault="00026C3F" w:rsidP="00A62E6F">
            <w:pPr>
              <w:pStyle w:val="idwtababs"/>
            </w:pPr>
            <w:r>
              <w:t> </w:t>
            </w:r>
          </w:p>
        </w:tc>
        <w:tc>
          <w:tcPr>
            <w:tcW w:w="1229" w:type="dxa"/>
            <w:tcBorders>
              <w:top w:val="nil"/>
              <w:left w:val="single" w:sz="4" w:space="0" w:color="auto"/>
              <w:bottom w:val="nil"/>
              <w:right w:val="nil"/>
            </w:tcBorders>
            <w:hideMark/>
          </w:tcPr>
          <w:p w14:paraId="61FE1E15" w14:textId="77777777" w:rsidR="00026C3F" w:rsidRDefault="00026C3F" w:rsidP="00A62E6F"/>
        </w:tc>
      </w:tr>
      <w:tr w:rsidR="00026C3F" w14:paraId="25B1E19B" w14:textId="77777777" w:rsidTr="00026C3F">
        <w:trPr>
          <w:divId w:val="1932812704"/>
        </w:trPr>
        <w:tc>
          <w:tcPr>
            <w:tcW w:w="5932" w:type="dxa"/>
            <w:tcBorders>
              <w:top w:val="outset" w:sz="6" w:space="0" w:color="auto"/>
              <w:left w:val="outset" w:sz="6" w:space="0" w:color="auto"/>
              <w:bottom w:val="outset" w:sz="6" w:space="0" w:color="auto"/>
              <w:right w:val="outset" w:sz="6" w:space="0" w:color="auto"/>
            </w:tcBorders>
            <w:vAlign w:val="center"/>
            <w:hideMark/>
          </w:tcPr>
          <w:p w14:paraId="3E62BF0B" w14:textId="77777777" w:rsidR="00026C3F" w:rsidRDefault="00026C3F" w:rsidP="00A62E6F">
            <w:pPr>
              <w:pStyle w:val="idwtababs"/>
              <w:rPr>
                <w:rFonts w:eastAsiaTheme="minorEastAsia"/>
                <w:sz w:val="24"/>
                <w:szCs w:val="24"/>
              </w:rPr>
            </w:pPr>
            <w:r>
              <w:t>Windenergie auf See</w:t>
            </w:r>
          </w:p>
        </w:tc>
        <w:tc>
          <w:tcPr>
            <w:tcW w:w="1893" w:type="dxa"/>
            <w:tcBorders>
              <w:top w:val="outset" w:sz="6" w:space="0" w:color="auto"/>
              <w:left w:val="outset" w:sz="6" w:space="0" w:color="auto"/>
              <w:bottom w:val="outset" w:sz="6" w:space="0" w:color="auto"/>
              <w:right w:val="single" w:sz="4" w:space="0" w:color="auto"/>
            </w:tcBorders>
            <w:hideMark/>
          </w:tcPr>
          <w:p w14:paraId="6D47D4BF" w14:textId="77777777" w:rsidR="00026C3F" w:rsidRDefault="00026C3F" w:rsidP="00A62E6F">
            <w:pPr>
              <w:pStyle w:val="idwtababs"/>
            </w:pPr>
            <w:r>
              <w:t> </w:t>
            </w:r>
          </w:p>
        </w:tc>
        <w:tc>
          <w:tcPr>
            <w:tcW w:w="1229" w:type="dxa"/>
            <w:tcBorders>
              <w:top w:val="nil"/>
              <w:left w:val="single" w:sz="4" w:space="0" w:color="auto"/>
              <w:bottom w:val="nil"/>
              <w:right w:val="nil"/>
            </w:tcBorders>
            <w:hideMark/>
          </w:tcPr>
          <w:p w14:paraId="77B995B9" w14:textId="77777777" w:rsidR="00026C3F" w:rsidRDefault="00026C3F" w:rsidP="00A62E6F"/>
        </w:tc>
      </w:tr>
      <w:tr w:rsidR="00026C3F" w14:paraId="4EA4F10C" w14:textId="77777777" w:rsidTr="00026C3F">
        <w:trPr>
          <w:divId w:val="1932812704"/>
        </w:trPr>
        <w:tc>
          <w:tcPr>
            <w:tcW w:w="5932" w:type="dxa"/>
            <w:tcBorders>
              <w:top w:val="outset" w:sz="6" w:space="0" w:color="auto"/>
              <w:left w:val="outset" w:sz="6" w:space="0" w:color="auto"/>
              <w:bottom w:val="single" w:sz="4" w:space="0" w:color="auto"/>
              <w:right w:val="outset" w:sz="6" w:space="0" w:color="auto"/>
            </w:tcBorders>
            <w:vAlign w:val="center"/>
            <w:hideMark/>
          </w:tcPr>
          <w:p w14:paraId="3428B37A" w14:textId="77777777" w:rsidR="00026C3F" w:rsidRDefault="00026C3F" w:rsidP="00A62E6F">
            <w:pPr>
              <w:pStyle w:val="idwtababs"/>
              <w:rPr>
                <w:rFonts w:eastAsiaTheme="minorEastAsia"/>
                <w:sz w:val="24"/>
                <w:szCs w:val="24"/>
              </w:rPr>
            </w:pPr>
            <w:r>
              <w:t>Solare Strahlungsenergie</w:t>
            </w:r>
          </w:p>
        </w:tc>
        <w:tc>
          <w:tcPr>
            <w:tcW w:w="1893" w:type="dxa"/>
            <w:tcBorders>
              <w:top w:val="outset" w:sz="6" w:space="0" w:color="auto"/>
              <w:left w:val="outset" w:sz="6" w:space="0" w:color="auto"/>
              <w:bottom w:val="outset" w:sz="6" w:space="0" w:color="auto"/>
              <w:right w:val="single" w:sz="4" w:space="0" w:color="auto"/>
            </w:tcBorders>
            <w:hideMark/>
          </w:tcPr>
          <w:p w14:paraId="187A23B1" w14:textId="77777777" w:rsidR="00026C3F" w:rsidRDefault="00026C3F" w:rsidP="00A62E6F">
            <w:pPr>
              <w:pStyle w:val="idwtababs"/>
            </w:pPr>
            <w:r>
              <w:t> </w:t>
            </w:r>
          </w:p>
        </w:tc>
        <w:tc>
          <w:tcPr>
            <w:tcW w:w="1229" w:type="dxa"/>
            <w:tcBorders>
              <w:top w:val="nil"/>
              <w:left w:val="single" w:sz="4" w:space="0" w:color="auto"/>
              <w:bottom w:val="nil"/>
              <w:right w:val="nil"/>
            </w:tcBorders>
            <w:hideMark/>
          </w:tcPr>
          <w:p w14:paraId="20B80502" w14:textId="77777777" w:rsidR="00026C3F" w:rsidRDefault="00026C3F" w:rsidP="00A62E6F"/>
        </w:tc>
      </w:tr>
      <w:tr w:rsidR="00026C3F" w14:paraId="4694920D" w14:textId="77777777" w:rsidTr="00026C3F">
        <w:trPr>
          <w:divId w:val="1932812704"/>
        </w:trPr>
        <w:tc>
          <w:tcPr>
            <w:tcW w:w="5932" w:type="dxa"/>
            <w:tcBorders>
              <w:top w:val="single" w:sz="4" w:space="0" w:color="auto"/>
              <w:left w:val="nil"/>
              <w:bottom w:val="nil"/>
              <w:right w:val="single" w:sz="4" w:space="0" w:color="auto"/>
            </w:tcBorders>
            <w:vAlign w:val="bottom"/>
            <w:hideMark/>
          </w:tcPr>
          <w:p w14:paraId="28C0329A" w14:textId="77777777" w:rsidR="00026C3F" w:rsidRDefault="00026C3F" w:rsidP="00A62E6F">
            <w:pPr>
              <w:pStyle w:val="idwtababs"/>
              <w:rPr>
                <w:rFonts w:eastAsiaTheme="minorEastAsia"/>
                <w:sz w:val="24"/>
                <w:szCs w:val="24"/>
              </w:rPr>
            </w:pPr>
            <w:r>
              <w:rPr>
                <w:b/>
                <w:bCs w:val="0"/>
              </w:rPr>
              <w:t>Summe:</w:t>
            </w:r>
          </w:p>
        </w:tc>
        <w:tc>
          <w:tcPr>
            <w:tcW w:w="1893" w:type="dxa"/>
            <w:tcBorders>
              <w:top w:val="outset" w:sz="6" w:space="0" w:color="auto"/>
              <w:left w:val="single" w:sz="4" w:space="0" w:color="auto"/>
              <w:bottom w:val="outset" w:sz="6" w:space="0" w:color="auto"/>
              <w:right w:val="single" w:sz="4" w:space="0" w:color="auto"/>
            </w:tcBorders>
            <w:hideMark/>
          </w:tcPr>
          <w:p w14:paraId="7061FE3B" w14:textId="77777777" w:rsidR="00026C3F" w:rsidRPr="008B26C6" w:rsidRDefault="00026C3F" w:rsidP="00A62E6F">
            <w:pPr>
              <w:pStyle w:val="idwtababs"/>
            </w:pPr>
            <w:r>
              <w:rPr>
                <w:b/>
                <w:bCs w:val="0"/>
              </w:rPr>
              <w:t> </w:t>
            </w:r>
          </w:p>
        </w:tc>
        <w:tc>
          <w:tcPr>
            <w:tcW w:w="1229" w:type="dxa"/>
            <w:tcBorders>
              <w:top w:val="nil"/>
              <w:left w:val="single" w:sz="4" w:space="0" w:color="auto"/>
              <w:bottom w:val="nil"/>
              <w:right w:val="nil"/>
            </w:tcBorders>
            <w:hideMark/>
          </w:tcPr>
          <w:p w14:paraId="7A6317CA" w14:textId="77777777" w:rsidR="00026C3F" w:rsidRDefault="00026C3F" w:rsidP="00A62E6F">
            <w:pPr>
              <w:pStyle w:val="idwtababs"/>
            </w:pPr>
            <w:r>
              <w:rPr>
                <w:b/>
                <w:bCs w:val="0"/>
              </w:rPr>
              <w:t>(7)</w:t>
            </w:r>
          </w:p>
        </w:tc>
      </w:tr>
    </w:tbl>
    <w:p w14:paraId="4CB3C554" w14:textId="77777777" w:rsidR="00026C3F" w:rsidRDefault="00026C3F" w:rsidP="00711945">
      <w:pPr>
        <w:keepNext/>
        <w:spacing w:before="480" w:after="100" w:afterAutospacing="1"/>
        <w:divId w:val="1932812704"/>
        <w:rPr>
          <w:rFonts w:eastAsiaTheme="minorEastAsia"/>
        </w:rPr>
      </w:pPr>
      <w:r>
        <w:rPr>
          <w:b/>
          <w:bCs/>
        </w:rPr>
        <w:t>Vermiedene Netzentgelte</w:t>
      </w:r>
    </w:p>
    <w:p w14:paraId="27A601BB" w14:textId="77777777" w:rsidR="00026C3F" w:rsidRDefault="00026C3F" w:rsidP="00026C3F">
      <w:pPr>
        <w:spacing w:before="100" w:beforeAutospacing="1" w:after="100" w:afterAutospacing="1"/>
        <w:divId w:val="1932812704"/>
      </w:pPr>
      <w:r>
        <w:t xml:space="preserve">Die nachfolgende Tabelle gibt unsere vermiedenen Netzentgelte gemäß § 13 Abs. 2 </w:t>
      </w:r>
      <w:proofErr w:type="spellStart"/>
      <w:r>
        <w:t>EnFG</w:t>
      </w:r>
      <w:proofErr w:type="spellEnd"/>
      <w:r>
        <w:t xml:space="preserve"> für den Zeitraum vom … [</w:t>
      </w:r>
      <w:r>
        <w:rPr>
          <w:i/>
          <w:iCs/>
        </w:rPr>
        <w:t>Datum 2025</w:t>
      </w:r>
      <w:r>
        <w:t>] bis … [</w:t>
      </w:r>
      <w:r>
        <w:rPr>
          <w:i/>
          <w:iCs/>
        </w:rPr>
        <w:t>Datum 2025</w:t>
      </w:r>
      <w:r>
        <w:t>] wieder:</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4151"/>
        <w:gridCol w:w="3638"/>
        <w:gridCol w:w="1273"/>
      </w:tblGrid>
      <w:tr w:rsidR="00026C3F" w14:paraId="4B6B3BE9" w14:textId="77777777" w:rsidTr="00026C3F">
        <w:trPr>
          <w:divId w:val="1932812704"/>
        </w:trPr>
        <w:tc>
          <w:tcPr>
            <w:tcW w:w="4151" w:type="dxa"/>
            <w:tcBorders>
              <w:top w:val="outset" w:sz="6" w:space="0" w:color="auto"/>
              <w:left w:val="outset" w:sz="6" w:space="0" w:color="auto"/>
              <w:bottom w:val="outset" w:sz="6" w:space="0" w:color="auto"/>
              <w:right w:val="outset" w:sz="6" w:space="0" w:color="auto"/>
            </w:tcBorders>
            <w:vAlign w:val="bottom"/>
            <w:hideMark/>
          </w:tcPr>
          <w:p w14:paraId="269D3116" w14:textId="77777777" w:rsidR="00026C3F" w:rsidRDefault="00026C3F" w:rsidP="00A62E6F">
            <w:pPr>
              <w:pStyle w:val="idwtababs"/>
            </w:pPr>
            <w:r>
              <w:rPr>
                <w:b/>
                <w:bCs w:val="0"/>
              </w:rPr>
              <w:t>Energieträger</w:t>
            </w:r>
          </w:p>
        </w:tc>
        <w:tc>
          <w:tcPr>
            <w:tcW w:w="3638" w:type="dxa"/>
            <w:tcBorders>
              <w:top w:val="outset" w:sz="6" w:space="0" w:color="auto"/>
              <w:left w:val="outset" w:sz="6" w:space="0" w:color="auto"/>
              <w:bottom w:val="outset" w:sz="6" w:space="0" w:color="auto"/>
              <w:right w:val="single" w:sz="4" w:space="0" w:color="auto"/>
            </w:tcBorders>
            <w:vAlign w:val="bottom"/>
            <w:hideMark/>
          </w:tcPr>
          <w:p w14:paraId="7770DDC6" w14:textId="77777777" w:rsidR="00026C3F" w:rsidRDefault="00026C3F" w:rsidP="00A62E6F">
            <w:pPr>
              <w:pStyle w:val="idwtababs"/>
            </w:pPr>
            <w:r>
              <w:rPr>
                <w:b/>
                <w:bCs w:val="0"/>
              </w:rPr>
              <w:t xml:space="preserve">Vermiedene Netzentgelte </w:t>
            </w:r>
            <w:r>
              <w:br/>
            </w:r>
            <w:r>
              <w:rPr>
                <w:b/>
                <w:bCs w:val="0"/>
              </w:rPr>
              <w:t>[EUR]</w:t>
            </w:r>
          </w:p>
        </w:tc>
        <w:tc>
          <w:tcPr>
            <w:tcW w:w="1273" w:type="dxa"/>
            <w:tcBorders>
              <w:top w:val="nil"/>
              <w:left w:val="single" w:sz="4" w:space="0" w:color="auto"/>
              <w:bottom w:val="nil"/>
              <w:right w:val="nil"/>
            </w:tcBorders>
            <w:hideMark/>
          </w:tcPr>
          <w:p w14:paraId="3FF8EB64" w14:textId="77777777" w:rsidR="00026C3F" w:rsidRDefault="00026C3F" w:rsidP="00A62E6F"/>
        </w:tc>
      </w:tr>
      <w:tr w:rsidR="00026C3F" w14:paraId="6CAD9AF5" w14:textId="77777777" w:rsidTr="00026C3F">
        <w:trPr>
          <w:divId w:val="1932812704"/>
        </w:trPr>
        <w:tc>
          <w:tcPr>
            <w:tcW w:w="4151" w:type="dxa"/>
            <w:tcBorders>
              <w:top w:val="outset" w:sz="6" w:space="0" w:color="auto"/>
              <w:left w:val="outset" w:sz="6" w:space="0" w:color="auto"/>
              <w:bottom w:val="outset" w:sz="6" w:space="0" w:color="auto"/>
              <w:right w:val="outset" w:sz="6" w:space="0" w:color="auto"/>
            </w:tcBorders>
            <w:vAlign w:val="center"/>
            <w:hideMark/>
          </w:tcPr>
          <w:p w14:paraId="6BE638A7" w14:textId="77777777" w:rsidR="00026C3F" w:rsidRDefault="00026C3F" w:rsidP="00A62E6F">
            <w:pPr>
              <w:pStyle w:val="idwtababs"/>
              <w:rPr>
                <w:rFonts w:eastAsiaTheme="minorEastAsia"/>
                <w:sz w:val="24"/>
                <w:szCs w:val="24"/>
              </w:rPr>
            </w:pPr>
            <w:r>
              <w:t>Wasserkraft</w:t>
            </w:r>
          </w:p>
        </w:tc>
        <w:tc>
          <w:tcPr>
            <w:tcW w:w="3638" w:type="dxa"/>
            <w:tcBorders>
              <w:top w:val="outset" w:sz="6" w:space="0" w:color="auto"/>
              <w:left w:val="outset" w:sz="6" w:space="0" w:color="auto"/>
              <w:bottom w:val="outset" w:sz="6" w:space="0" w:color="auto"/>
              <w:right w:val="single" w:sz="4" w:space="0" w:color="auto"/>
            </w:tcBorders>
            <w:hideMark/>
          </w:tcPr>
          <w:p w14:paraId="7A1844CB" w14:textId="77777777" w:rsidR="00026C3F" w:rsidRDefault="00026C3F" w:rsidP="00A62E6F">
            <w:pPr>
              <w:pStyle w:val="idwtababs"/>
            </w:pPr>
            <w:r>
              <w:t> </w:t>
            </w:r>
          </w:p>
        </w:tc>
        <w:tc>
          <w:tcPr>
            <w:tcW w:w="1273" w:type="dxa"/>
            <w:tcBorders>
              <w:top w:val="nil"/>
              <w:left w:val="single" w:sz="4" w:space="0" w:color="auto"/>
              <w:bottom w:val="nil"/>
              <w:right w:val="nil"/>
            </w:tcBorders>
            <w:hideMark/>
          </w:tcPr>
          <w:p w14:paraId="10140FC4" w14:textId="77777777" w:rsidR="00026C3F" w:rsidRDefault="00026C3F" w:rsidP="00A62E6F"/>
        </w:tc>
      </w:tr>
      <w:tr w:rsidR="00026C3F" w14:paraId="3E833454" w14:textId="77777777" w:rsidTr="00026C3F">
        <w:trPr>
          <w:divId w:val="1932812704"/>
        </w:trPr>
        <w:tc>
          <w:tcPr>
            <w:tcW w:w="4151" w:type="dxa"/>
            <w:tcBorders>
              <w:top w:val="outset" w:sz="6" w:space="0" w:color="auto"/>
              <w:left w:val="outset" w:sz="6" w:space="0" w:color="auto"/>
              <w:bottom w:val="outset" w:sz="6" w:space="0" w:color="auto"/>
              <w:right w:val="outset" w:sz="6" w:space="0" w:color="auto"/>
            </w:tcBorders>
            <w:vAlign w:val="center"/>
            <w:hideMark/>
          </w:tcPr>
          <w:p w14:paraId="5B1E9127" w14:textId="77777777" w:rsidR="00026C3F" w:rsidRDefault="00026C3F" w:rsidP="00A62E6F">
            <w:pPr>
              <w:pStyle w:val="idwtababs"/>
              <w:rPr>
                <w:rFonts w:eastAsiaTheme="minorEastAsia"/>
                <w:sz w:val="24"/>
                <w:szCs w:val="24"/>
              </w:rPr>
            </w:pPr>
            <w:r>
              <w:t>Deponie-, Klär-, Grubengas</w:t>
            </w:r>
          </w:p>
        </w:tc>
        <w:tc>
          <w:tcPr>
            <w:tcW w:w="3638" w:type="dxa"/>
            <w:tcBorders>
              <w:top w:val="outset" w:sz="6" w:space="0" w:color="auto"/>
              <w:left w:val="outset" w:sz="6" w:space="0" w:color="auto"/>
              <w:bottom w:val="outset" w:sz="6" w:space="0" w:color="auto"/>
              <w:right w:val="single" w:sz="4" w:space="0" w:color="auto"/>
            </w:tcBorders>
            <w:hideMark/>
          </w:tcPr>
          <w:p w14:paraId="3EB37197" w14:textId="77777777" w:rsidR="00026C3F" w:rsidRDefault="00026C3F" w:rsidP="00A62E6F">
            <w:pPr>
              <w:pStyle w:val="idwtababs"/>
            </w:pPr>
            <w:r>
              <w:t> </w:t>
            </w:r>
          </w:p>
        </w:tc>
        <w:tc>
          <w:tcPr>
            <w:tcW w:w="1273" w:type="dxa"/>
            <w:tcBorders>
              <w:top w:val="nil"/>
              <w:left w:val="single" w:sz="4" w:space="0" w:color="auto"/>
              <w:bottom w:val="nil"/>
              <w:right w:val="nil"/>
            </w:tcBorders>
            <w:hideMark/>
          </w:tcPr>
          <w:p w14:paraId="05198154" w14:textId="77777777" w:rsidR="00026C3F" w:rsidRDefault="00026C3F" w:rsidP="00A62E6F"/>
        </w:tc>
      </w:tr>
      <w:tr w:rsidR="00026C3F" w14:paraId="38AD15E6" w14:textId="77777777" w:rsidTr="00026C3F">
        <w:trPr>
          <w:divId w:val="1932812704"/>
        </w:trPr>
        <w:tc>
          <w:tcPr>
            <w:tcW w:w="4151" w:type="dxa"/>
            <w:tcBorders>
              <w:top w:val="outset" w:sz="6" w:space="0" w:color="auto"/>
              <w:left w:val="outset" w:sz="6" w:space="0" w:color="auto"/>
              <w:bottom w:val="outset" w:sz="6" w:space="0" w:color="auto"/>
              <w:right w:val="outset" w:sz="6" w:space="0" w:color="auto"/>
            </w:tcBorders>
            <w:vAlign w:val="center"/>
            <w:hideMark/>
          </w:tcPr>
          <w:p w14:paraId="4A7B58ED" w14:textId="77777777" w:rsidR="00026C3F" w:rsidRDefault="00026C3F" w:rsidP="00A62E6F">
            <w:pPr>
              <w:pStyle w:val="idwtababs"/>
              <w:rPr>
                <w:rFonts w:eastAsiaTheme="minorEastAsia"/>
                <w:sz w:val="24"/>
                <w:szCs w:val="24"/>
              </w:rPr>
            </w:pPr>
            <w:r>
              <w:t>Biomasse</w:t>
            </w:r>
          </w:p>
        </w:tc>
        <w:tc>
          <w:tcPr>
            <w:tcW w:w="3638" w:type="dxa"/>
            <w:tcBorders>
              <w:top w:val="outset" w:sz="6" w:space="0" w:color="auto"/>
              <w:left w:val="outset" w:sz="6" w:space="0" w:color="auto"/>
              <w:bottom w:val="outset" w:sz="6" w:space="0" w:color="auto"/>
              <w:right w:val="single" w:sz="4" w:space="0" w:color="auto"/>
            </w:tcBorders>
            <w:hideMark/>
          </w:tcPr>
          <w:p w14:paraId="790F50D7" w14:textId="77777777" w:rsidR="00026C3F" w:rsidRDefault="00026C3F" w:rsidP="00A62E6F">
            <w:pPr>
              <w:pStyle w:val="idwtababs"/>
            </w:pPr>
            <w:r>
              <w:t> </w:t>
            </w:r>
          </w:p>
        </w:tc>
        <w:tc>
          <w:tcPr>
            <w:tcW w:w="1273" w:type="dxa"/>
            <w:tcBorders>
              <w:top w:val="nil"/>
              <w:left w:val="single" w:sz="4" w:space="0" w:color="auto"/>
              <w:bottom w:val="nil"/>
              <w:right w:val="nil"/>
            </w:tcBorders>
            <w:hideMark/>
          </w:tcPr>
          <w:p w14:paraId="5B9D32A7" w14:textId="77777777" w:rsidR="00026C3F" w:rsidRDefault="00026C3F" w:rsidP="00A62E6F"/>
        </w:tc>
      </w:tr>
      <w:tr w:rsidR="00026C3F" w14:paraId="359410EB" w14:textId="77777777" w:rsidTr="00026C3F">
        <w:trPr>
          <w:divId w:val="1932812704"/>
        </w:trPr>
        <w:tc>
          <w:tcPr>
            <w:tcW w:w="4151" w:type="dxa"/>
            <w:tcBorders>
              <w:top w:val="outset" w:sz="6" w:space="0" w:color="auto"/>
              <w:left w:val="outset" w:sz="6" w:space="0" w:color="auto"/>
              <w:bottom w:val="single" w:sz="4" w:space="0" w:color="auto"/>
              <w:right w:val="outset" w:sz="6" w:space="0" w:color="auto"/>
            </w:tcBorders>
            <w:vAlign w:val="center"/>
            <w:hideMark/>
          </w:tcPr>
          <w:p w14:paraId="632DDB3D" w14:textId="77777777" w:rsidR="00026C3F" w:rsidRDefault="00026C3F" w:rsidP="00A62E6F">
            <w:pPr>
              <w:pStyle w:val="idwtababs"/>
              <w:rPr>
                <w:rFonts w:eastAsiaTheme="minorEastAsia"/>
                <w:sz w:val="24"/>
                <w:szCs w:val="24"/>
              </w:rPr>
            </w:pPr>
            <w:r>
              <w:t>Geothermie</w:t>
            </w:r>
          </w:p>
        </w:tc>
        <w:tc>
          <w:tcPr>
            <w:tcW w:w="3638" w:type="dxa"/>
            <w:tcBorders>
              <w:top w:val="outset" w:sz="6" w:space="0" w:color="auto"/>
              <w:left w:val="outset" w:sz="6" w:space="0" w:color="auto"/>
              <w:bottom w:val="outset" w:sz="6" w:space="0" w:color="auto"/>
              <w:right w:val="single" w:sz="4" w:space="0" w:color="auto"/>
            </w:tcBorders>
            <w:hideMark/>
          </w:tcPr>
          <w:p w14:paraId="7140A652" w14:textId="77777777" w:rsidR="00026C3F" w:rsidRDefault="00026C3F" w:rsidP="00A62E6F">
            <w:pPr>
              <w:pStyle w:val="idwtababs"/>
            </w:pPr>
            <w:r>
              <w:t> </w:t>
            </w:r>
          </w:p>
        </w:tc>
        <w:tc>
          <w:tcPr>
            <w:tcW w:w="1273" w:type="dxa"/>
            <w:tcBorders>
              <w:top w:val="nil"/>
              <w:left w:val="single" w:sz="4" w:space="0" w:color="auto"/>
              <w:bottom w:val="nil"/>
              <w:right w:val="nil"/>
            </w:tcBorders>
            <w:hideMark/>
          </w:tcPr>
          <w:p w14:paraId="58399EF5" w14:textId="77777777" w:rsidR="00026C3F" w:rsidRDefault="00026C3F" w:rsidP="00A62E6F"/>
        </w:tc>
      </w:tr>
      <w:tr w:rsidR="00026C3F" w14:paraId="70168173" w14:textId="77777777" w:rsidTr="00026C3F">
        <w:trPr>
          <w:divId w:val="1932812704"/>
        </w:trPr>
        <w:tc>
          <w:tcPr>
            <w:tcW w:w="4151" w:type="dxa"/>
            <w:tcBorders>
              <w:top w:val="single" w:sz="4" w:space="0" w:color="auto"/>
              <w:left w:val="nil"/>
              <w:bottom w:val="nil"/>
              <w:right w:val="single" w:sz="4" w:space="0" w:color="auto"/>
            </w:tcBorders>
            <w:vAlign w:val="bottom"/>
            <w:hideMark/>
          </w:tcPr>
          <w:p w14:paraId="0C59E123" w14:textId="77777777" w:rsidR="00026C3F" w:rsidRDefault="00026C3F" w:rsidP="00A62E6F">
            <w:pPr>
              <w:pStyle w:val="idwtababs"/>
              <w:rPr>
                <w:rFonts w:eastAsiaTheme="minorEastAsia"/>
                <w:sz w:val="24"/>
                <w:szCs w:val="24"/>
              </w:rPr>
            </w:pPr>
            <w:r>
              <w:rPr>
                <w:b/>
                <w:bCs w:val="0"/>
              </w:rPr>
              <w:t>Summe:</w:t>
            </w:r>
          </w:p>
        </w:tc>
        <w:tc>
          <w:tcPr>
            <w:tcW w:w="3638" w:type="dxa"/>
            <w:tcBorders>
              <w:top w:val="outset" w:sz="6" w:space="0" w:color="auto"/>
              <w:left w:val="single" w:sz="4" w:space="0" w:color="auto"/>
              <w:bottom w:val="outset" w:sz="6" w:space="0" w:color="auto"/>
              <w:right w:val="single" w:sz="4" w:space="0" w:color="auto"/>
            </w:tcBorders>
            <w:hideMark/>
          </w:tcPr>
          <w:p w14:paraId="6F1EC66A" w14:textId="77777777" w:rsidR="00026C3F" w:rsidRDefault="00026C3F" w:rsidP="00A62E6F">
            <w:pPr>
              <w:pStyle w:val="idwtababs"/>
            </w:pPr>
            <w:r>
              <w:t> </w:t>
            </w:r>
          </w:p>
        </w:tc>
        <w:tc>
          <w:tcPr>
            <w:tcW w:w="1273" w:type="dxa"/>
            <w:tcBorders>
              <w:top w:val="nil"/>
              <w:left w:val="single" w:sz="4" w:space="0" w:color="auto"/>
              <w:bottom w:val="nil"/>
              <w:right w:val="nil"/>
            </w:tcBorders>
            <w:hideMark/>
          </w:tcPr>
          <w:p w14:paraId="0AAED463" w14:textId="77777777" w:rsidR="00026C3F" w:rsidRDefault="00026C3F" w:rsidP="00A62E6F">
            <w:pPr>
              <w:pStyle w:val="idwtababs"/>
            </w:pPr>
            <w:r>
              <w:rPr>
                <w:b/>
                <w:bCs w:val="0"/>
              </w:rPr>
              <w:t>(8)</w:t>
            </w:r>
          </w:p>
        </w:tc>
      </w:tr>
    </w:tbl>
    <w:p w14:paraId="2A710E6B" w14:textId="77777777" w:rsidR="00026C3F" w:rsidRDefault="00026C3F" w:rsidP="0069484A">
      <w:pPr>
        <w:keepNext/>
        <w:spacing w:before="100" w:beforeAutospacing="1" w:after="240"/>
        <w:divId w:val="1932812704"/>
        <w:rPr>
          <w:rFonts w:eastAsiaTheme="minorEastAsia"/>
        </w:rPr>
      </w:pPr>
      <w:r>
        <w:rPr>
          <w:b/>
          <w:bCs/>
        </w:rPr>
        <w:lastRenderedPageBreak/>
        <w:t>Nachträgliche Korrekturen und erhaltene Zahlungen für Eigenversorgung in Vorjahren</w:t>
      </w:r>
    </w:p>
    <w:p w14:paraId="4E42D93D" w14:textId="77777777" w:rsidR="00026C3F" w:rsidRDefault="00026C3F" w:rsidP="0069484A">
      <w:pPr>
        <w:divId w:val="1932812704"/>
      </w:pPr>
      <w:r>
        <w:t>Es haben sich Änderungen im Hinblick auf die erhaltene EEG-Umlage für Eigenversorgung in Vorjahren ergeben. Diese Änderungen umfassen</w:t>
      </w:r>
    </w:p>
    <w:p w14:paraId="7594E61A" w14:textId="77777777" w:rsidR="00026C3F" w:rsidRDefault="00026C3F" w:rsidP="00026C3F">
      <w:pPr>
        <w:pStyle w:val="idwlistfree1"/>
        <w:divId w:val="1932812704"/>
      </w:pPr>
      <w:r>
        <w:t>●</w:t>
      </w:r>
      <w:r>
        <w:tab/>
        <w:t xml:space="preserve">nachträgliche Korrekturen nach § 66 Abs. 1 </w:t>
      </w:r>
      <w:proofErr w:type="spellStart"/>
      <w:r>
        <w:t>EnFG</w:t>
      </w:r>
      <w:proofErr w:type="spellEnd"/>
      <w:r>
        <w:t xml:space="preserve"> </w:t>
      </w:r>
      <w:proofErr w:type="spellStart"/>
      <w:r>
        <w:t>i.V.m</w:t>
      </w:r>
      <w:proofErr w:type="spellEnd"/>
      <w:r>
        <w:t>. § 62 EEG in der am 31.12.2022 geltenden Fassung der EEG-umlagepflichtigen Strommengen und der von Eigenversorgern erhaltenen Zahlungen – vor Berücksichtigung der Saldierungsbeträge für Stromspeicher i.S. des § 61l Erneuerbare-Energien-Gesetz in der für das Korrekturjahr geltenden Fassung – gegenüber unseren zusammengefassten Endabrechnungen für Vorjahre,</w:t>
      </w:r>
    </w:p>
    <w:p w14:paraId="6C4C77B1" w14:textId="77777777" w:rsidR="00026C3F" w:rsidRDefault="00026C3F" w:rsidP="00026C3F">
      <w:pPr>
        <w:pStyle w:val="idwlistfree1"/>
        <w:divId w:val="1932812704"/>
      </w:pPr>
      <w:r>
        <w:t>●</w:t>
      </w:r>
      <w:r>
        <w:tab/>
        <w:t>nachträgliche Korrekturen im Hinblick auf die Verringerung der EEG-Umlage bei Stromspeichern i.S. des § 61l Erneuerbare-Energien-Gesetz in der für das Korrekturjahr geltenden Fassung gegenüber den selbst erzeugten und selbst verbrauchten Strommengen sowie den Saldierungsbeträgen, die unseren zusammengefassten Endabrechnungen für Vorjahre zugrunde lagen, sowie</w:t>
      </w:r>
    </w:p>
    <w:p w14:paraId="4C98B211" w14:textId="77777777" w:rsidR="00026C3F" w:rsidRDefault="00026C3F" w:rsidP="00026C3F">
      <w:pPr>
        <w:pStyle w:val="idwlistfree1"/>
        <w:divId w:val="1932812704"/>
      </w:pPr>
      <w:r>
        <w:t>●</w:t>
      </w:r>
      <w:r>
        <w:tab/>
        <w:t>von Eigenversorgern erhaltene Zahlungen für bereits in Vorjahren gemeldete EEG-umlagepflichtige Strommengen, die noch nicht in unseren zusammengefassten Endabrechnungen für Vorjahre enthalten waren.</w:t>
      </w:r>
    </w:p>
    <w:p w14:paraId="18F41E41" w14:textId="77777777" w:rsidR="00026C3F" w:rsidRDefault="00026C3F" w:rsidP="00026C3F">
      <w:pPr>
        <w:spacing w:before="100" w:beforeAutospacing="1" w:after="100" w:afterAutospacing="1"/>
        <w:divId w:val="1932812704"/>
      </w:pPr>
      <w:r>
        <w:t xml:space="preserve">Ferner haben wir in der nachfolgenden Tabelle die im Kalenderjahr 2025 von den Eigenversorgern erhaltenen Zinsen aufgrund von § 66 Abs. 1 </w:t>
      </w:r>
      <w:proofErr w:type="spellStart"/>
      <w:r>
        <w:t>EnFG</w:t>
      </w:r>
      <w:proofErr w:type="spellEnd"/>
      <w:r>
        <w:t xml:space="preserve"> </w:t>
      </w:r>
      <w:proofErr w:type="spellStart"/>
      <w:r>
        <w:t>i.V.m</w:t>
      </w:r>
      <w:proofErr w:type="spellEnd"/>
      <w:r>
        <w:t>. § 61j Abs. 4, § 60 Abs. 3 EEG in der am 31.12.2022 geltenden Fassung angegeben:</w:t>
      </w:r>
    </w:p>
    <w:tbl>
      <w:tblPr>
        <w:tblW w:w="5000" w:type="pct"/>
        <w:tblBorders>
          <w:top w:val="outset" w:sz="6" w:space="0" w:color="auto"/>
          <w:left w:val="outset" w:sz="6" w:space="0" w:color="auto"/>
          <w:bottom w:val="outset" w:sz="6" w:space="0" w:color="auto"/>
          <w:right w:val="outset" w:sz="6" w:space="0" w:color="auto"/>
        </w:tblBorders>
        <w:tblLayout w:type="fixed"/>
        <w:tblCellMar>
          <w:top w:w="113" w:type="dxa"/>
          <w:left w:w="150" w:type="dxa"/>
          <w:bottom w:w="113" w:type="dxa"/>
          <w:right w:w="150" w:type="dxa"/>
        </w:tblCellMar>
        <w:tblLook w:val="04A0" w:firstRow="1" w:lastRow="0" w:firstColumn="1" w:lastColumn="0" w:noHBand="0" w:noVBand="1"/>
      </w:tblPr>
      <w:tblGrid>
        <w:gridCol w:w="753"/>
        <w:gridCol w:w="2783"/>
        <w:gridCol w:w="2552"/>
        <w:gridCol w:w="2398"/>
        <w:gridCol w:w="576"/>
      </w:tblGrid>
      <w:tr w:rsidR="00026C3F" w14:paraId="20B349EB" w14:textId="77777777" w:rsidTr="0040496B">
        <w:trPr>
          <w:divId w:val="1932812704"/>
        </w:trPr>
        <w:tc>
          <w:tcPr>
            <w:tcW w:w="753" w:type="dxa"/>
            <w:tcBorders>
              <w:top w:val="outset" w:sz="6" w:space="0" w:color="auto"/>
              <w:left w:val="outset" w:sz="6" w:space="0" w:color="auto"/>
              <w:bottom w:val="outset" w:sz="6" w:space="0" w:color="auto"/>
              <w:right w:val="outset" w:sz="6" w:space="0" w:color="auto"/>
            </w:tcBorders>
            <w:vAlign w:val="bottom"/>
            <w:hideMark/>
          </w:tcPr>
          <w:p w14:paraId="6839628D" w14:textId="77777777" w:rsidR="00026C3F" w:rsidRDefault="00026C3F" w:rsidP="00A62E6F">
            <w:pPr>
              <w:pStyle w:val="idwtababs"/>
            </w:pPr>
            <w:r>
              <w:rPr>
                <w:b/>
                <w:bCs w:val="0"/>
              </w:rPr>
              <w:t>Jahr</w:t>
            </w:r>
          </w:p>
        </w:tc>
        <w:tc>
          <w:tcPr>
            <w:tcW w:w="2783" w:type="dxa"/>
            <w:tcBorders>
              <w:top w:val="outset" w:sz="6" w:space="0" w:color="auto"/>
              <w:left w:val="outset" w:sz="6" w:space="0" w:color="auto"/>
              <w:bottom w:val="outset" w:sz="6" w:space="0" w:color="auto"/>
              <w:right w:val="outset" w:sz="6" w:space="0" w:color="auto"/>
            </w:tcBorders>
            <w:vAlign w:val="bottom"/>
            <w:hideMark/>
          </w:tcPr>
          <w:p w14:paraId="7C86AB3D" w14:textId="77777777" w:rsidR="00026C3F" w:rsidRDefault="00026C3F" w:rsidP="00A62E6F">
            <w:pPr>
              <w:pStyle w:val="idwtababs"/>
            </w:pPr>
            <w:r>
              <w:rPr>
                <w:b/>
                <w:bCs w:val="0"/>
              </w:rPr>
              <w:t>EEG-</w:t>
            </w:r>
            <w:proofErr w:type="spellStart"/>
            <w:r>
              <w:rPr>
                <w:b/>
                <w:bCs w:val="0"/>
              </w:rPr>
              <w:t>Umlageart</w:t>
            </w:r>
            <w:r>
              <w:rPr>
                <w:b/>
                <w:bCs w:val="0"/>
                <w:vertAlign w:val="superscript"/>
              </w:rPr>
              <w:t>a</w:t>
            </w:r>
            <w:proofErr w:type="spellEnd"/>
            <w:r>
              <w:rPr>
                <w:b/>
                <w:bCs w:val="0"/>
                <w:vertAlign w:val="superscript"/>
              </w:rPr>
              <w:t>)</w:t>
            </w:r>
          </w:p>
        </w:tc>
        <w:tc>
          <w:tcPr>
            <w:tcW w:w="2552" w:type="dxa"/>
            <w:tcBorders>
              <w:top w:val="outset" w:sz="6" w:space="0" w:color="auto"/>
              <w:left w:val="outset" w:sz="6" w:space="0" w:color="auto"/>
              <w:bottom w:val="outset" w:sz="6" w:space="0" w:color="auto"/>
              <w:right w:val="outset" w:sz="6" w:space="0" w:color="auto"/>
            </w:tcBorders>
            <w:vAlign w:val="bottom"/>
            <w:hideMark/>
          </w:tcPr>
          <w:p w14:paraId="55643234" w14:textId="77777777" w:rsidR="00026C3F" w:rsidRDefault="00026C3F" w:rsidP="00A62E6F">
            <w:pPr>
              <w:pStyle w:val="idwtababs"/>
              <w:jc w:val="center"/>
            </w:pPr>
            <w:r>
              <w:rPr>
                <w:b/>
                <w:bCs w:val="0"/>
              </w:rPr>
              <w:t xml:space="preserve">Änderungen der EEG-umlagepflichtigen Strommengen </w:t>
            </w:r>
            <w:r>
              <w:br/>
            </w:r>
            <w:r>
              <w:rPr>
                <w:b/>
                <w:bCs w:val="0"/>
              </w:rPr>
              <w:t>[kWh]</w:t>
            </w:r>
          </w:p>
        </w:tc>
        <w:tc>
          <w:tcPr>
            <w:tcW w:w="2398" w:type="dxa"/>
            <w:tcBorders>
              <w:top w:val="outset" w:sz="6" w:space="0" w:color="auto"/>
              <w:left w:val="outset" w:sz="6" w:space="0" w:color="auto"/>
              <w:bottom w:val="outset" w:sz="6" w:space="0" w:color="auto"/>
              <w:right w:val="single" w:sz="4" w:space="0" w:color="auto"/>
            </w:tcBorders>
            <w:vAlign w:val="bottom"/>
            <w:hideMark/>
          </w:tcPr>
          <w:p w14:paraId="7FE6D638" w14:textId="77777777" w:rsidR="00026C3F" w:rsidRDefault="00026C3F" w:rsidP="00A62E6F">
            <w:pPr>
              <w:pStyle w:val="idwtababs"/>
              <w:jc w:val="center"/>
            </w:pPr>
            <w:r>
              <w:rPr>
                <w:b/>
                <w:bCs w:val="0"/>
              </w:rPr>
              <w:t>Änderungen im Hinblick auf die erhaltene EEG-Umlage</w:t>
            </w:r>
            <w:r>
              <w:br/>
            </w:r>
            <w:r>
              <w:rPr>
                <w:b/>
                <w:bCs w:val="0"/>
              </w:rPr>
              <w:t>[EUR]</w:t>
            </w:r>
          </w:p>
        </w:tc>
        <w:tc>
          <w:tcPr>
            <w:tcW w:w="576" w:type="dxa"/>
            <w:tcBorders>
              <w:top w:val="nil"/>
              <w:left w:val="single" w:sz="4" w:space="0" w:color="auto"/>
              <w:bottom w:val="nil"/>
              <w:right w:val="nil"/>
            </w:tcBorders>
            <w:hideMark/>
          </w:tcPr>
          <w:p w14:paraId="55B520AC" w14:textId="77777777" w:rsidR="00026C3F" w:rsidRDefault="00026C3F" w:rsidP="00A62E6F"/>
        </w:tc>
      </w:tr>
      <w:tr w:rsidR="00026C3F" w14:paraId="1B16D420" w14:textId="77777777" w:rsidTr="0040496B">
        <w:trPr>
          <w:divId w:val="1932812704"/>
        </w:trPr>
        <w:tc>
          <w:tcPr>
            <w:tcW w:w="753" w:type="dxa"/>
            <w:tcBorders>
              <w:top w:val="outset" w:sz="6" w:space="0" w:color="auto"/>
              <w:left w:val="outset" w:sz="6" w:space="0" w:color="auto"/>
              <w:bottom w:val="outset" w:sz="6" w:space="0" w:color="auto"/>
              <w:right w:val="outset" w:sz="6" w:space="0" w:color="auto"/>
            </w:tcBorders>
            <w:vAlign w:val="center"/>
            <w:hideMark/>
          </w:tcPr>
          <w:p w14:paraId="19277146" w14:textId="77777777" w:rsidR="00026C3F" w:rsidRDefault="00026C3F" w:rsidP="0040496B">
            <w:pPr>
              <w:pStyle w:val="idwtababs"/>
              <w:spacing w:after="0"/>
              <w:rPr>
                <w:rFonts w:eastAsiaTheme="minorEastAsia"/>
                <w:sz w:val="24"/>
                <w:szCs w:val="24"/>
              </w:rPr>
            </w:pPr>
            <w:r>
              <w:t>…</w:t>
            </w:r>
          </w:p>
        </w:tc>
        <w:tc>
          <w:tcPr>
            <w:tcW w:w="2783" w:type="dxa"/>
            <w:tcBorders>
              <w:top w:val="outset" w:sz="6" w:space="0" w:color="auto"/>
              <w:left w:val="outset" w:sz="6" w:space="0" w:color="auto"/>
              <w:bottom w:val="outset" w:sz="6" w:space="0" w:color="auto"/>
              <w:right w:val="outset" w:sz="6" w:space="0" w:color="auto"/>
            </w:tcBorders>
            <w:vAlign w:val="center"/>
            <w:hideMark/>
          </w:tcPr>
          <w:p w14:paraId="1931470D" w14:textId="77777777" w:rsidR="00026C3F" w:rsidRDefault="00026C3F" w:rsidP="0040496B">
            <w:pPr>
              <w:pStyle w:val="idwtababs"/>
              <w:spacing w:after="0"/>
            </w:pPr>
            <w:r>
              <w:t>…</w:t>
            </w:r>
          </w:p>
        </w:tc>
        <w:tc>
          <w:tcPr>
            <w:tcW w:w="2552" w:type="dxa"/>
            <w:tcBorders>
              <w:top w:val="outset" w:sz="6" w:space="0" w:color="auto"/>
              <w:left w:val="outset" w:sz="6" w:space="0" w:color="auto"/>
              <w:bottom w:val="outset" w:sz="6" w:space="0" w:color="auto"/>
              <w:right w:val="outset" w:sz="6" w:space="0" w:color="auto"/>
            </w:tcBorders>
            <w:hideMark/>
          </w:tcPr>
          <w:p w14:paraId="127F6F2E" w14:textId="77777777" w:rsidR="00026C3F" w:rsidRDefault="00026C3F" w:rsidP="0040496B">
            <w:pPr>
              <w:pStyle w:val="idwtababs"/>
              <w:spacing w:after="0"/>
            </w:pPr>
            <w:r>
              <w:t> </w:t>
            </w:r>
          </w:p>
        </w:tc>
        <w:tc>
          <w:tcPr>
            <w:tcW w:w="2398" w:type="dxa"/>
            <w:tcBorders>
              <w:top w:val="outset" w:sz="6" w:space="0" w:color="auto"/>
              <w:left w:val="outset" w:sz="6" w:space="0" w:color="auto"/>
              <w:bottom w:val="outset" w:sz="6" w:space="0" w:color="auto"/>
              <w:right w:val="single" w:sz="4" w:space="0" w:color="auto"/>
            </w:tcBorders>
            <w:hideMark/>
          </w:tcPr>
          <w:p w14:paraId="3DD8E6B1" w14:textId="77777777" w:rsidR="00026C3F" w:rsidRDefault="00026C3F" w:rsidP="0040496B">
            <w:pPr>
              <w:pStyle w:val="idwtababs"/>
              <w:spacing w:after="0"/>
            </w:pPr>
            <w:r>
              <w:t> </w:t>
            </w:r>
          </w:p>
        </w:tc>
        <w:tc>
          <w:tcPr>
            <w:tcW w:w="576" w:type="dxa"/>
            <w:tcBorders>
              <w:top w:val="nil"/>
              <w:left w:val="single" w:sz="4" w:space="0" w:color="auto"/>
              <w:bottom w:val="nil"/>
              <w:right w:val="nil"/>
            </w:tcBorders>
            <w:hideMark/>
          </w:tcPr>
          <w:p w14:paraId="4516E9DE" w14:textId="77777777" w:rsidR="00026C3F" w:rsidRDefault="00026C3F" w:rsidP="0040496B">
            <w:pPr>
              <w:spacing w:after="0"/>
            </w:pPr>
          </w:p>
        </w:tc>
      </w:tr>
      <w:tr w:rsidR="00026C3F" w14:paraId="37D4319D" w14:textId="77777777" w:rsidTr="0040496B">
        <w:trPr>
          <w:divId w:val="1932812704"/>
        </w:trPr>
        <w:tc>
          <w:tcPr>
            <w:tcW w:w="753" w:type="dxa"/>
            <w:tcBorders>
              <w:top w:val="outset" w:sz="6" w:space="0" w:color="auto"/>
              <w:left w:val="outset" w:sz="6" w:space="0" w:color="auto"/>
              <w:bottom w:val="outset" w:sz="6" w:space="0" w:color="auto"/>
              <w:right w:val="outset" w:sz="6" w:space="0" w:color="auto"/>
            </w:tcBorders>
            <w:vAlign w:val="center"/>
            <w:hideMark/>
          </w:tcPr>
          <w:p w14:paraId="55D4875F" w14:textId="77777777" w:rsidR="00026C3F" w:rsidRDefault="00026C3F" w:rsidP="0040496B">
            <w:pPr>
              <w:pStyle w:val="idwtababs"/>
              <w:spacing w:after="0"/>
              <w:rPr>
                <w:rFonts w:eastAsiaTheme="minorEastAsia"/>
                <w:sz w:val="24"/>
                <w:szCs w:val="24"/>
              </w:rPr>
            </w:pPr>
            <w:r>
              <w:t>…</w:t>
            </w:r>
          </w:p>
        </w:tc>
        <w:tc>
          <w:tcPr>
            <w:tcW w:w="2783" w:type="dxa"/>
            <w:tcBorders>
              <w:top w:val="outset" w:sz="6" w:space="0" w:color="auto"/>
              <w:left w:val="outset" w:sz="6" w:space="0" w:color="auto"/>
              <w:bottom w:val="outset" w:sz="6" w:space="0" w:color="auto"/>
              <w:right w:val="outset" w:sz="6" w:space="0" w:color="auto"/>
            </w:tcBorders>
            <w:vAlign w:val="center"/>
            <w:hideMark/>
          </w:tcPr>
          <w:p w14:paraId="555A26BF" w14:textId="77777777" w:rsidR="00026C3F" w:rsidRDefault="00026C3F" w:rsidP="0040496B">
            <w:pPr>
              <w:pStyle w:val="idwtababs"/>
              <w:spacing w:after="0"/>
            </w:pPr>
            <w:r>
              <w:t>…</w:t>
            </w:r>
          </w:p>
        </w:tc>
        <w:tc>
          <w:tcPr>
            <w:tcW w:w="2552" w:type="dxa"/>
            <w:tcBorders>
              <w:top w:val="outset" w:sz="6" w:space="0" w:color="auto"/>
              <w:left w:val="outset" w:sz="6" w:space="0" w:color="auto"/>
              <w:bottom w:val="outset" w:sz="6" w:space="0" w:color="auto"/>
              <w:right w:val="outset" w:sz="6" w:space="0" w:color="auto"/>
            </w:tcBorders>
            <w:hideMark/>
          </w:tcPr>
          <w:p w14:paraId="7E8D420D" w14:textId="77777777" w:rsidR="00026C3F" w:rsidRDefault="00026C3F" w:rsidP="0040496B">
            <w:pPr>
              <w:pStyle w:val="idwtababs"/>
              <w:spacing w:after="0"/>
            </w:pPr>
            <w:r>
              <w:t> </w:t>
            </w:r>
          </w:p>
        </w:tc>
        <w:tc>
          <w:tcPr>
            <w:tcW w:w="2398" w:type="dxa"/>
            <w:tcBorders>
              <w:top w:val="outset" w:sz="6" w:space="0" w:color="auto"/>
              <w:left w:val="outset" w:sz="6" w:space="0" w:color="auto"/>
              <w:bottom w:val="outset" w:sz="6" w:space="0" w:color="auto"/>
              <w:right w:val="single" w:sz="4" w:space="0" w:color="auto"/>
            </w:tcBorders>
            <w:hideMark/>
          </w:tcPr>
          <w:p w14:paraId="0C2BF6AB" w14:textId="77777777" w:rsidR="00026C3F" w:rsidRDefault="00026C3F" w:rsidP="0040496B">
            <w:pPr>
              <w:pStyle w:val="idwtababs"/>
              <w:spacing w:after="0"/>
            </w:pPr>
            <w:r>
              <w:t> </w:t>
            </w:r>
          </w:p>
        </w:tc>
        <w:tc>
          <w:tcPr>
            <w:tcW w:w="576" w:type="dxa"/>
            <w:tcBorders>
              <w:top w:val="nil"/>
              <w:left w:val="single" w:sz="4" w:space="0" w:color="auto"/>
              <w:bottom w:val="nil"/>
              <w:right w:val="nil"/>
            </w:tcBorders>
            <w:hideMark/>
          </w:tcPr>
          <w:p w14:paraId="0DA2C109" w14:textId="77777777" w:rsidR="00026C3F" w:rsidRDefault="00026C3F" w:rsidP="0040496B">
            <w:pPr>
              <w:spacing w:after="0"/>
            </w:pPr>
          </w:p>
        </w:tc>
      </w:tr>
      <w:tr w:rsidR="00026C3F" w14:paraId="61341C1D" w14:textId="77777777" w:rsidTr="0040496B">
        <w:trPr>
          <w:divId w:val="1932812704"/>
        </w:trPr>
        <w:tc>
          <w:tcPr>
            <w:tcW w:w="753" w:type="dxa"/>
            <w:tcBorders>
              <w:top w:val="outset" w:sz="6" w:space="0" w:color="auto"/>
              <w:left w:val="outset" w:sz="6" w:space="0" w:color="auto"/>
              <w:bottom w:val="outset" w:sz="6" w:space="0" w:color="auto"/>
              <w:right w:val="outset" w:sz="6" w:space="0" w:color="auto"/>
            </w:tcBorders>
            <w:vAlign w:val="center"/>
            <w:hideMark/>
          </w:tcPr>
          <w:p w14:paraId="6280287A" w14:textId="77777777" w:rsidR="00026C3F" w:rsidRDefault="00026C3F" w:rsidP="0040496B">
            <w:pPr>
              <w:pStyle w:val="idwtababs"/>
              <w:spacing w:after="0"/>
              <w:rPr>
                <w:rFonts w:eastAsiaTheme="minorEastAsia"/>
                <w:sz w:val="24"/>
                <w:szCs w:val="24"/>
              </w:rPr>
            </w:pPr>
            <w:r>
              <w:t>…</w:t>
            </w:r>
          </w:p>
        </w:tc>
        <w:tc>
          <w:tcPr>
            <w:tcW w:w="2783" w:type="dxa"/>
            <w:tcBorders>
              <w:top w:val="outset" w:sz="6" w:space="0" w:color="auto"/>
              <w:left w:val="outset" w:sz="6" w:space="0" w:color="auto"/>
              <w:bottom w:val="outset" w:sz="6" w:space="0" w:color="auto"/>
              <w:right w:val="outset" w:sz="6" w:space="0" w:color="auto"/>
            </w:tcBorders>
            <w:vAlign w:val="center"/>
            <w:hideMark/>
          </w:tcPr>
          <w:p w14:paraId="699DC55B" w14:textId="77777777" w:rsidR="00026C3F" w:rsidRDefault="00026C3F" w:rsidP="0040496B">
            <w:pPr>
              <w:pStyle w:val="idwtababs"/>
              <w:spacing w:after="0"/>
            </w:pPr>
            <w:r>
              <w:t>…</w:t>
            </w:r>
          </w:p>
        </w:tc>
        <w:tc>
          <w:tcPr>
            <w:tcW w:w="2552" w:type="dxa"/>
            <w:tcBorders>
              <w:top w:val="outset" w:sz="6" w:space="0" w:color="auto"/>
              <w:left w:val="outset" w:sz="6" w:space="0" w:color="auto"/>
              <w:bottom w:val="outset" w:sz="6" w:space="0" w:color="auto"/>
              <w:right w:val="outset" w:sz="6" w:space="0" w:color="auto"/>
            </w:tcBorders>
            <w:hideMark/>
          </w:tcPr>
          <w:p w14:paraId="64A9299F" w14:textId="77777777" w:rsidR="00026C3F" w:rsidRDefault="00026C3F" w:rsidP="0040496B">
            <w:pPr>
              <w:pStyle w:val="idwtababs"/>
              <w:spacing w:after="0"/>
            </w:pPr>
            <w:r>
              <w:t> </w:t>
            </w:r>
          </w:p>
        </w:tc>
        <w:tc>
          <w:tcPr>
            <w:tcW w:w="2398" w:type="dxa"/>
            <w:tcBorders>
              <w:top w:val="outset" w:sz="6" w:space="0" w:color="auto"/>
              <w:left w:val="outset" w:sz="6" w:space="0" w:color="auto"/>
              <w:bottom w:val="outset" w:sz="6" w:space="0" w:color="auto"/>
              <w:right w:val="single" w:sz="4" w:space="0" w:color="auto"/>
            </w:tcBorders>
            <w:hideMark/>
          </w:tcPr>
          <w:p w14:paraId="48AE9260" w14:textId="77777777" w:rsidR="00026C3F" w:rsidRDefault="00026C3F" w:rsidP="0040496B">
            <w:pPr>
              <w:pStyle w:val="idwtababs"/>
              <w:spacing w:after="0"/>
            </w:pPr>
            <w:r>
              <w:t> </w:t>
            </w:r>
          </w:p>
        </w:tc>
        <w:tc>
          <w:tcPr>
            <w:tcW w:w="576" w:type="dxa"/>
            <w:tcBorders>
              <w:top w:val="nil"/>
              <w:left w:val="single" w:sz="4" w:space="0" w:color="auto"/>
              <w:bottom w:val="nil"/>
              <w:right w:val="nil"/>
            </w:tcBorders>
            <w:hideMark/>
          </w:tcPr>
          <w:p w14:paraId="6C325001" w14:textId="77777777" w:rsidR="00026C3F" w:rsidRDefault="00026C3F" w:rsidP="0040496B">
            <w:pPr>
              <w:spacing w:after="0"/>
            </w:pPr>
          </w:p>
        </w:tc>
      </w:tr>
      <w:tr w:rsidR="00026C3F" w14:paraId="1358D93B" w14:textId="77777777" w:rsidTr="0040496B">
        <w:trPr>
          <w:divId w:val="1932812704"/>
        </w:trPr>
        <w:tc>
          <w:tcPr>
            <w:tcW w:w="6088" w:type="dxa"/>
            <w:gridSpan w:val="3"/>
            <w:tcBorders>
              <w:top w:val="outset" w:sz="6" w:space="0" w:color="auto"/>
              <w:left w:val="outset" w:sz="6" w:space="0" w:color="auto"/>
              <w:bottom w:val="outset" w:sz="6" w:space="0" w:color="auto"/>
              <w:right w:val="outset" w:sz="6" w:space="0" w:color="auto"/>
            </w:tcBorders>
            <w:vAlign w:val="center"/>
            <w:hideMark/>
          </w:tcPr>
          <w:p w14:paraId="27277827" w14:textId="77777777" w:rsidR="00026C3F" w:rsidRPr="00BB7413" w:rsidRDefault="00026C3F" w:rsidP="0040496B">
            <w:pPr>
              <w:pStyle w:val="idwtababs"/>
              <w:spacing w:after="0"/>
              <w:rPr>
                <w:rFonts w:eastAsiaTheme="minorEastAsia"/>
                <w:sz w:val="24"/>
                <w:szCs w:val="24"/>
              </w:rPr>
            </w:pPr>
            <w:r w:rsidRPr="00BB7413">
              <w:t>Summe</w:t>
            </w:r>
          </w:p>
        </w:tc>
        <w:tc>
          <w:tcPr>
            <w:tcW w:w="2398" w:type="dxa"/>
            <w:tcBorders>
              <w:top w:val="outset" w:sz="6" w:space="0" w:color="auto"/>
              <w:left w:val="outset" w:sz="6" w:space="0" w:color="auto"/>
              <w:bottom w:val="outset" w:sz="6" w:space="0" w:color="auto"/>
              <w:right w:val="single" w:sz="4" w:space="0" w:color="auto"/>
            </w:tcBorders>
            <w:hideMark/>
          </w:tcPr>
          <w:p w14:paraId="30392E0F" w14:textId="77777777" w:rsidR="00026C3F" w:rsidRDefault="00026C3F" w:rsidP="0040496B">
            <w:pPr>
              <w:pStyle w:val="idwtababs"/>
              <w:spacing w:after="0"/>
            </w:pPr>
            <w:r>
              <w:t> </w:t>
            </w:r>
          </w:p>
        </w:tc>
        <w:tc>
          <w:tcPr>
            <w:tcW w:w="576" w:type="dxa"/>
            <w:tcBorders>
              <w:top w:val="nil"/>
              <w:left w:val="single" w:sz="4" w:space="0" w:color="auto"/>
              <w:bottom w:val="nil"/>
              <w:right w:val="nil"/>
            </w:tcBorders>
            <w:hideMark/>
          </w:tcPr>
          <w:p w14:paraId="1CA8D0A4" w14:textId="77777777" w:rsidR="00026C3F" w:rsidRDefault="00026C3F" w:rsidP="0040496B">
            <w:pPr>
              <w:pStyle w:val="idwtababs"/>
              <w:spacing w:after="0"/>
            </w:pPr>
            <w:r>
              <w:rPr>
                <w:b/>
                <w:bCs w:val="0"/>
              </w:rPr>
              <w:t>(9)</w:t>
            </w:r>
          </w:p>
        </w:tc>
      </w:tr>
    </w:tbl>
    <w:p w14:paraId="492C1AD6" w14:textId="77777777" w:rsidR="0040496B" w:rsidRDefault="0040496B" w:rsidP="00D65D92">
      <w:pPr>
        <w:pStyle w:val="idwlistfree1"/>
        <w:spacing w:line="240" w:lineRule="atLeast"/>
        <w:ind w:left="425" w:hanging="425"/>
        <w:divId w:val="1932812704"/>
        <w:rPr>
          <w:sz w:val="20"/>
          <w:szCs w:val="20"/>
        </w:rPr>
      </w:pPr>
    </w:p>
    <w:p w14:paraId="461C57E4" w14:textId="0DAD3738" w:rsidR="00C03B6F" w:rsidRDefault="00026C3F" w:rsidP="00D65D92">
      <w:pPr>
        <w:pStyle w:val="idwlistfree1"/>
        <w:spacing w:line="240" w:lineRule="atLeast"/>
        <w:ind w:left="425" w:hanging="425"/>
        <w:divId w:val="1932812704"/>
        <w:rPr>
          <w:sz w:val="20"/>
          <w:szCs w:val="20"/>
        </w:rPr>
        <w:sectPr w:rsidR="00C03B6F" w:rsidSect="00026C3F">
          <w:headerReference w:type="default" r:id="rId13"/>
          <w:footerReference w:type="even" r:id="rId14"/>
          <w:footerReference w:type="default" r:id="rId15"/>
          <w:footerReference w:type="first" r:id="rId16"/>
          <w:pgSz w:w="11906" w:h="16838" w:code="9"/>
          <w:pgMar w:top="1701" w:right="1418" w:bottom="1134" w:left="1418" w:header="737" w:footer="397" w:gutter="0"/>
          <w:cols w:space="720"/>
        </w:sectPr>
      </w:pPr>
      <w:r w:rsidRPr="0069484A">
        <w:rPr>
          <w:sz w:val="20"/>
          <w:szCs w:val="20"/>
        </w:rPr>
        <w:t>a)</w:t>
      </w:r>
      <w:r w:rsidRPr="0069484A">
        <w:rPr>
          <w:sz w:val="20"/>
          <w:szCs w:val="20"/>
        </w:rPr>
        <w:tab/>
        <w:t>Angabe der Rechtsgrundlage für die relevante EEG-Umlageart, mit der die zu korrigierenden EEG-umlagepflichtigen Strommengen abgerechnet werden müssen. Bei Korrekturen, die das Kalenderjahr 2022 betreffen, ist bei der Auswahl der EEG-Umlageart zu berücksichtigen, dass es unterschiedliche EEG-Umlagearten für die Zeiträume vom 01.01. bis zum 30.06.2022 sowie vom 01.01. bis zum 31.12.2022 geben kann.</w:t>
      </w:r>
      <w:r w:rsidRPr="0069484A">
        <w:rPr>
          <w:rStyle w:val="Funotenzeichen"/>
          <w:sz w:val="20"/>
          <w:szCs w:val="20"/>
        </w:rPr>
        <w:footnoteReference w:id="4"/>
      </w:r>
    </w:p>
    <w:p w14:paraId="671B74C0" w14:textId="77777777" w:rsidR="00026C3F" w:rsidRDefault="00026C3F" w:rsidP="00711945">
      <w:pPr>
        <w:keepNext/>
        <w:spacing w:after="100" w:afterAutospacing="1"/>
        <w:divId w:val="1932812704"/>
      </w:pPr>
      <w:r>
        <w:rPr>
          <w:b/>
          <w:bCs/>
        </w:rPr>
        <w:lastRenderedPageBreak/>
        <w:t xml:space="preserve">Nachträgliche Korrekturen nach § 20 Abs. 1 </w:t>
      </w:r>
      <w:proofErr w:type="spellStart"/>
      <w:r>
        <w:rPr>
          <w:b/>
          <w:bCs/>
        </w:rPr>
        <w:t>EnFG</w:t>
      </w:r>
      <w:proofErr w:type="spellEnd"/>
    </w:p>
    <w:p w14:paraId="235AE8D5" w14:textId="77777777" w:rsidR="00026C3F" w:rsidRDefault="00026C3F" w:rsidP="00026C3F">
      <w:pPr>
        <w:spacing w:before="100" w:beforeAutospacing="1" w:after="100" w:afterAutospacing="1"/>
        <w:divId w:val="1932812704"/>
      </w:pPr>
      <w:r>
        <w:t xml:space="preserve">Über die in den vorstehenden Tabellen gemachten Angaben hinaus haben sich folgende nachträgliche Änderungen der Strommengen oder der Zahlungsansprüche ergeben, die gemäß § 20 Abs. 1 </w:t>
      </w:r>
      <w:proofErr w:type="spellStart"/>
      <w:r>
        <w:t>EnFG</w:t>
      </w:r>
      <w:proofErr w:type="spellEnd"/>
      <w:r>
        <w:t xml:space="preserve"> in der zusammengefassten Endabrechnung für das Kalenderjahr 2025 zu berücksichtigen sind:</w:t>
      </w:r>
    </w:p>
    <w:bookmarkStart w:id="3" w:name="_MON_1831731453"/>
    <w:bookmarkEnd w:id="3"/>
    <w:p w14:paraId="137E25CA" w14:textId="180ED9B5" w:rsidR="00F41673" w:rsidRDefault="00E926E8" w:rsidP="00026C3F">
      <w:pPr>
        <w:spacing w:before="100" w:beforeAutospacing="1" w:after="100" w:afterAutospacing="1"/>
        <w:divId w:val="1932812704"/>
      </w:pPr>
      <w:r>
        <w:object w:dxaOrig="13795" w:dyaOrig="4643" w14:anchorId="55386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pt;height:231.6pt" o:ole="">
            <v:imagedata r:id="rId17" o:title=""/>
          </v:shape>
          <o:OLEObject Type="Embed" ProgID="Excel.Sheet.12" ShapeID="_x0000_i1025" DrawAspect="Content" ObjectID="_1834904563" r:id="rId18"/>
        </w:object>
      </w:r>
    </w:p>
    <w:bookmarkStart w:id="4" w:name="_MON_1831732488"/>
    <w:bookmarkEnd w:id="4"/>
    <w:p w14:paraId="32B5BF44" w14:textId="3B6F29EC" w:rsidR="00C074B6" w:rsidRDefault="006B335D" w:rsidP="00026C3F">
      <w:pPr>
        <w:pStyle w:val="idwabsatz"/>
        <w:divId w:val="1932812704"/>
      </w:pPr>
      <w:r>
        <w:object w:dxaOrig="13711" w:dyaOrig="5097" w14:anchorId="4CE7DF40">
          <v:shape id="_x0000_i1026" type="#_x0000_t75" style="width:685.8pt;height:255.6pt" o:ole="">
            <v:imagedata r:id="rId19" o:title=""/>
          </v:shape>
          <o:OLEObject Type="Embed" ProgID="Excel.Sheet.12" ShapeID="_x0000_i1026" DrawAspect="Content" ObjectID="_1834904564" r:id="rId20"/>
        </w:object>
      </w:r>
    </w:p>
    <w:p w14:paraId="2724CD88" w14:textId="568F4631" w:rsidR="00543ECA" w:rsidRDefault="00543ECA" w:rsidP="00026C3F">
      <w:pPr>
        <w:pStyle w:val="idwabsatz"/>
        <w:divId w:val="1932812704"/>
        <w:sectPr w:rsidR="00543ECA" w:rsidSect="0069484A">
          <w:pgSz w:w="16838" w:h="11906" w:orient="landscape" w:code="9"/>
          <w:pgMar w:top="1418" w:right="1701" w:bottom="1418" w:left="1134" w:header="737" w:footer="397" w:gutter="0"/>
          <w:cols w:space="720"/>
          <w:docGrid w:linePitch="299"/>
        </w:sectPr>
      </w:pPr>
    </w:p>
    <w:p w14:paraId="205DBA7A" w14:textId="77777777" w:rsidR="00026C3F" w:rsidRPr="0069484A" w:rsidRDefault="00026C3F" w:rsidP="00FC6318">
      <w:pPr>
        <w:pStyle w:val="Listenabsatz"/>
        <w:numPr>
          <w:ilvl w:val="0"/>
          <w:numId w:val="23"/>
        </w:numPr>
        <w:tabs>
          <w:tab w:val="left" w:pos="426"/>
        </w:tabs>
        <w:spacing w:after="60"/>
        <w:ind w:left="426" w:hanging="426"/>
        <w:divId w:val="1932812704"/>
        <w:rPr>
          <w:sz w:val="20"/>
        </w:rPr>
      </w:pPr>
      <w:r w:rsidRPr="0069484A">
        <w:rPr>
          <w:sz w:val="20"/>
        </w:rPr>
        <w:lastRenderedPageBreak/>
        <w:t xml:space="preserve">Legende zu den Gründen für nachträgliche Korrekturen i.S. des § 20 Abs. 1 </w:t>
      </w:r>
      <w:proofErr w:type="spellStart"/>
      <w:r w:rsidRPr="0069484A">
        <w:rPr>
          <w:sz w:val="20"/>
        </w:rPr>
        <w:t>EnFG</w:t>
      </w:r>
      <w:proofErr w:type="spellEnd"/>
      <w:r w:rsidRPr="0069484A">
        <w:rPr>
          <w:sz w:val="20"/>
        </w:rPr>
        <w:t>:</w:t>
      </w:r>
    </w:p>
    <w:p w14:paraId="46C79C1B" w14:textId="77777777" w:rsidR="00026C3F" w:rsidRPr="0069484A" w:rsidRDefault="00026C3F" w:rsidP="00DE3522">
      <w:pPr>
        <w:spacing w:after="60"/>
        <w:ind w:left="851" w:hanging="425"/>
        <w:divId w:val="1932812704"/>
        <w:rPr>
          <w:sz w:val="20"/>
        </w:rPr>
      </w:pPr>
      <w:r w:rsidRPr="0069484A">
        <w:rPr>
          <w:sz w:val="20"/>
        </w:rPr>
        <w:t>1</w:t>
      </w:r>
      <w:r w:rsidRPr="0069484A">
        <w:rPr>
          <w:sz w:val="20"/>
        </w:rPr>
        <w:tab/>
        <w:t xml:space="preserve">Rückforderungen aufgrund von § 18 Abs. 1 </w:t>
      </w:r>
      <w:proofErr w:type="spellStart"/>
      <w:r w:rsidRPr="0069484A">
        <w:rPr>
          <w:sz w:val="20"/>
        </w:rPr>
        <w:t>EnFG</w:t>
      </w:r>
      <w:proofErr w:type="spellEnd"/>
      <w:r w:rsidRPr="0069484A">
        <w:rPr>
          <w:sz w:val="20"/>
        </w:rPr>
        <w:t xml:space="preserve"> (§ 20 Abs. 1 Nr. 1 </w:t>
      </w:r>
      <w:proofErr w:type="spellStart"/>
      <w:r w:rsidRPr="0069484A">
        <w:rPr>
          <w:sz w:val="20"/>
        </w:rPr>
        <w:t>EnFG</w:t>
      </w:r>
      <w:proofErr w:type="spellEnd"/>
      <w:r w:rsidRPr="0069484A">
        <w:rPr>
          <w:sz w:val="20"/>
        </w:rPr>
        <w:t>)</w:t>
      </w:r>
    </w:p>
    <w:p w14:paraId="72BCA414" w14:textId="77777777" w:rsidR="00026C3F" w:rsidRPr="0069484A" w:rsidRDefault="00026C3F" w:rsidP="00016FCA">
      <w:pPr>
        <w:spacing w:after="60"/>
        <w:ind w:left="851" w:hanging="425"/>
        <w:divId w:val="1932812704"/>
        <w:rPr>
          <w:sz w:val="20"/>
        </w:rPr>
      </w:pPr>
      <w:r w:rsidRPr="0069484A">
        <w:rPr>
          <w:sz w:val="20"/>
        </w:rPr>
        <w:t>2</w:t>
      </w:r>
      <w:r w:rsidRPr="0069484A">
        <w:rPr>
          <w:sz w:val="20"/>
        </w:rPr>
        <w:tab/>
        <w:t xml:space="preserve">rechtskräftige Gerichtsentscheidung im Hauptsacheverfahren (§ 20 Abs. 1 Nr. 2 </w:t>
      </w:r>
      <w:proofErr w:type="spellStart"/>
      <w:r w:rsidRPr="0069484A">
        <w:rPr>
          <w:sz w:val="20"/>
        </w:rPr>
        <w:t>EnFG</w:t>
      </w:r>
      <w:proofErr w:type="spellEnd"/>
      <w:r w:rsidRPr="0069484A">
        <w:rPr>
          <w:sz w:val="20"/>
        </w:rPr>
        <w:t>)</w:t>
      </w:r>
    </w:p>
    <w:p w14:paraId="49EF7F29" w14:textId="77777777" w:rsidR="00026C3F" w:rsidRPr="0069484A" w:rsidRDefault="00026C3F" w:rsidP="00016FCA">
      <w:pPr>
        <w:spacing w:after="60"/>
        <w:ind w:left="851" w:hanging="425"/>
        <w:divId w:val="1932812704"/>
        <w:rPr>
          <w:sz w:val="20"/>
        </w:rPr>
      </w:pPr>
      <w:r w:rsidRPr="0069484A">
        <w:rPr>
          <w:sz w:val="20"/>
        </w:rPr>
        <w:t>3</w:t>
      </w:r>
      <w:r w:rsidRPr="0069484A">
        <w:rPr>
          <w:sz w:val="20"/>
        </w:rPr>
        <w:tab/>
        <w:t xml:space="preserve">Ergebnis eines Verfahrens bei der Clearingstelle nach § 81 Abs. 4 Satz 1 Nr. 1 oder 2 Erneuerbare-Energien-Gesetz (§ 20 Abs. 1 Nr. 3 </w:t>
      </w:r>
      <w:proofErr w:type="spellStart"/>
      <w:r w:rsidRPr="0069484A">
        <w:rPr>
          <w:sz w:val="20"/>
        </w:rPr>
        <w:t>EnFG</w:t>
      </w:r>
      <w:proofErr w:type="spellEnd"/>
      <w:r w:rsidRPr="0069484A">
        <w:rPr>
          <w:sz w:val="20"/>
        </w:rPr>
        <w:t>)</w:t>
      </w:r>
    </w:p>
    <w:p w14:paraId="03EE3751" w14:textId="77777777" w:rsidR="00026C3F" w:rsidRPr="0069484A" w:rsidRDefault="00026C3F" w:rsidP="00016FCA">
      <w:pPr>
        <w:spacing w:after="60"/>
        <w:ind w:left="851" w:hanging="425"/>
        <w:divId w:val="1932812704"/>
        <w:rPr>
          <w:sz w:val="20"/>
        </w:rPr>
      </w:pPr>
      <w:r w:rsidRPr="0069484A">
        <w:rPr>
          <w:sz w:val="20"/>
        </w:rPr>
        <w:t>4</w:t>
      </w:r>
      <w:r w:rsidRPr="0069484A">
        <w:rPr>
          <w:sz w:val="20"/>
        </w:rPr>
        <w:tab/>
        <w:t xml:space="preserve">Entscheidungen der Bundesnetzagentur nach § 62 </w:t>
      </w:r>
      <w:proofErr w:type="spellStart"/>
      <w:r w:rsidRPr="0069484A">
        <w:rPr>
          <w:sz w:val="20"/>
        </w:rPr>
        <w:t>EnFG</w:t>
      </w:r>
      <w:proofErr w:type="spellEnd"/>
      <w:r w:rsidRPr="0069484A">
        <w:rPr>
          <w:sz w:val="20"/>
        </w:rPr>
        <w:t xml:space="preserve">, § 85 Erneuerbare-Energien-Gesetz (§ 20 Abs. 1 Nr. 4 </w:t>
      </w:r>
      <w:proofErr w:type="spellStart"/>
      <w:r w:rsidRPr="0069484A">
        <w:rPr>
          <w:sz w:val="20"/>
        </w:rPr>
        <w:t>EnFG</w:t>
      </w:r>
      <w:proofErr w:type="spellEnd"/>
      <w:r w:rsidRPr="0069484A">
        <w:rPr>
          <w:sz w:val="20"/>
        </w:rPr>
        <w:t>)</w:t>
      </w:r>
    </w:p>
    <w:p w14:paraId="64CCD5B9" w14:textId="77777777" w:rsidR="00026C3F" w:rsidRPr="0069484A" w:rsidRDefault="00026C3F" w:rsidP="00016FCA">
      <w:pPr>
        <w:spacing w:after="60"/>
        <w:ind w:left="851" w:hanging="425"/>
        <w:divId w:val="1932812704"/>
        <w:rPr>
          <w:sz w:val="20"/>
        </w:rPr>
      </w:pPr>
      <w:r w:rsidRPr="0069484A">
        <w:rPr>
          <w:sz w:val="20"/>
        </w:rPr>
        <w:t>5</w:t>
      </w:r>
      <w:r w:rsidRPr="0069484A">
        <w:rPr>
          <w:sz w:val="20"/>
        </w:rPr>
        <w:tab/>
        <w:t xml:space="preserve">vollstreckbarer Titel, der erst nach der Abrechnung nach § 15 </w:t>
      </w:r>
      <w:proofErr w:type="spellStart"/>
      <w:r w:rsidRPr="0069484A">
        <w:rPr>
          <w:sz w:val="20"/>
        </w:rPr>
        <w:t>EnFG</w:t>
      </w:r>
      <w:proofErr w:type="spellEnd"/>
      <w:r w:rsidRPr="0069484A">
        <w:rPr>
          <w:sz w:val="20"/>
        </w:rPr>
        <w:t xml:space="preserve"> ergangen ist (§ 20 Abs. 1 Nr. 5 </w:t>
      </w:r>
      <w:proofErr w:type="spellStart"/>
      <w:r w:rsidRPr="0069484A">
        <w:rPr>
          <w:sz w:val="20"/>
        </w:rPr>
        <w:t>EnFG</w:t>
      </w:r>
      <w:proofErr w:type="spellEnd"/>
      <w:r w:rsidRPr="0069484A">
        <w:rPr>
          <w:sz w:val="20"/>
        </w:rPr>
        <w:t>)</w:t>
      </w:r>
    </w:p>
    <w:p w14:paraId="212FF5FF" w14:textId="77777777" w:rsidR="00026C3F" w:rsidRPr="0069484A" w:rsidRDefault="00026C3F" w:rsidP="00016FCA">
      <w:pPr>
        <w:spacing w:after="60"/>
        <w:ind w:left="851" w:hanging="425"/>
        <w:divId w:val="1932812704"/>
        <w:rPr>
          <w:sz w:val="20"/>
        </w:rPr>
      </w:pPr>
      <w:r w:rsidRPr="0069484A">
        <w:rPr>
          <w:sz w:val="20"/>
        </w:rPr>
        <w:t>6</w:t>
      </w:r>
      <w:r w:rsidRPr="0069484A">
        <w:rPr>
          <w:sz w:val="20"/>
        </w:rPr>
        <w:tab/>
        <w:t xml:space="preserve">Zahlungen, die nach § 26 Abs. 2 Erneuerbare-Energien-Gesetz zu einem späteren Zeitpunkt fällig geworden sind (§ 20 Abs. 1 Nr. 6 </w:t>
      </w:r>
      <w:proofErr w:type="spellStart"/>
      <w:r w:rsidRPr="0069484A">
        <w:rPr>
          <w:sz w:val="20"/>
        </w:rPr>
        <w:t>EnFG</w:t>
      </w:r>
      <w:proofErr w:type="spellEnd"/>
      <w:r w:rsidRPr="0069484A">
        <w:rPr>
          <w:sz w:val="20"/>
        </w:rPr>
        <w:t>)</w:t>
      </w:r>
    </w:p>
    <w:p w14:paraId="47FCFEAB" w14:textId="77777777" w:rsidR="00026C3F" w:rsidRPr="0069484A" w:rsidRDefault="00026C3F" w:rsidP="00016FCA">
      <w:pPr>
        <w:spacing w:after="60"/>
        <w:ind w:left="851" w:hanging="425"/>
        <w:divId w:val="1932812704"/>
        <w:rPr>
          <w:sz w:val="20"/>
        </w:rPr>
      </w:pPr>
      <w:r w:rsidRPr="0069484A">
        <w:rPr>
          <w:sz w:val="20"/>
        </w:rPr>
        <w:t>7</w:t>
      </w:r>
      <w:r w:rsidRPr="0069484A">
        <w:rPr>
          <w:sz w:val="20"/>
        </w:rPr>
        <w:tab/>
        <w:t xml:space="preserve">unstreitige Korrektur fehlerhafter oder unvollständiger Angaben (§ 20 Abs. 1 Nr. 7 </w:t>
      </w:r>
      <w:proofErr w:type="spellStart"/>
      <w:r w:rsidRPr="0069484A">
        <w:rPr>
          <w:sz w:val="20"/>
        </w:rPr>
        <w:t>EnFG</w:t>
      </w:r>
      <w:proofErr w:type="spellEnd"/>
      <w:r w:rsidRPr="0069484A">
        <w:rPr>
          <w:sz w:val="20"/>
        </w:rPr>
        <w:t>)</w:t>
      </w:r>
      <w:r w:rsidRPr="0069484A">
        <w:rPr>
          <w:rStyle w:val="Funotenzeichen"/>
          <w:sz w:val="20"/>
        </w:rPr>
        <w:footnoteReference w:id="5"/>
      </w:r>
      <w:r w:rsidRPr="0069484A">
        <w:rPr>
          <w:sz w:val="20"/>
        </w:rPr>
        <w:t>.</w:t>
      </w:r>
    </w:p>
    <w:p w14:paraId="4FC2C774" w14:textId="77777777" w:rsidR="00026C3F" w:rsidRPr="0069484A" w:rsidRDefault="00026C3F" w:rsidP="00DE3522">
      <w:pPr>
        <w:pStyle w:val="Listenabsatz"/>
        <w:numPr>
          <w:ilvl w:val="0"/>
          <w:numId w:val="23"/>
        </w:numPr>
        <w:tabs>
          <w:tab w:val="left" w:pos="426"/>
        </w:tabs>
        <w:spacing w:after="60"/>
        <w:ind w:left="426" w:hanging="426"/>
        <w:divId w:val="1932812704"/>
        <w:rPr>
          <w:sz w:val="20"/>
        </w:rPr>
      </w:pPr>
      <w:r w:rsidRPr="0069484A">
        <w:rPr>
          <w:sz w:val="20"/>
        </w:rPr>
        <w:t>Sofern der Grund der nachträglichen Korrektur die Abrechnung für mehr als ein Kalenderjahr betrifft, ist das Volumen der nachträglichen Änderung auf die betroffenen Kalenderjahre aufzuteilen und getrennt für jedes Kalenderjahr zu erfassen.</w:t>
      </w:r>
    </w:p>
    <w:p w14:paraId="7E6A851A" w14:textId="77777777" w:rsidR="00026C3F" w:rsidRPr="0069484A" w:rsidRDefault="00026C3F" w:rsidP="00DE3522">
      <w:pPr>
        <w:pStyle w:val="Listenabsatz"/>
        <w:numPr>
          <w:ilvl w:val="0"/>
          <w:numId w:val="23"/>
        </w:numPr>
        <w:tabs>
          <w:tab w:val="left" w:pos="426"/>
        </w:tabs>
        <w:spacing w:after="60"/>
        <w:ind w:left="426" w:hanging="426"/>
        <w:divId w:val="1932812704"/>
        <w:rPr>
          <w:sz w:val="20"/>
        </w:rPr>
      </w:pPr>
      <w:r w:rsidRPr="0069484A">
        <w:rPr>
          <w:sz w:val="20"/>
        </w:rPr>
        <w:t>Sofern nachträgliche Korrekturen Strommengen aus der sonstigen Direktvermarktung betreffen, sind diese ebenfalls in dieser Spalte zu erfassen.</w:t>
      </w:r>
    </w:p>
    <w:p w14:paraId="57814016" w14:textId="77777777" w:rsidR="00026C3F" w:rsidRPr="0069484A" w:rsidRDefault="00026C3F" w:rsidP="00DE3522">
      <w:pPr>
        <w:pStyle w:val="Listenabsatz"/>
        <w:numPr>
          <w:ilvl w:val="0"/>
          <w:numId w:val="23"/>
        </w:numPr>
        <w:tabs>
          <w:tab w:val="left" w:pos="426"/>
        </w:tabs>
        <w:spacing w:after="60"/>
        <w:ind w:left="426" w:hanging="426"/>
        <w:divId w:val="1932812704"/>
        <w:rPr>
          <w:sz w:val="20"/>
        </w:rPr>
      </w:pPr>
      <w:r w:rsidRPr="0069484A">
        <w:rPr>
          <w:sz w:val="20"/>
        </w:rPr>
        <w:t>Sofern vermiedene Netzentgelte nachträglich vom Verteilernetzbetreiber zu zahlen sind, ist der Wert mit positivem Vorzeichen anzugeben. Sofern vermiedene Netzentgelte dem Verteilernetzbetreiber zu erstatten sind, ist der Wert mit negativem Vorzeichen anzugeben.</w:t>
      </w:r>
    </w:p>
    <w:p w14:paraId="14847FC2" w14:textId="77777777" w:rsidR="00026C3F" w:rsidRPr="0069484A" w:rsidRDefault="00026C3F" w:rsidP="00DE3522">
      <w:pPr>
        <w:pStyle w:val="Listenabsatz"/>
        <w:numPr>
          <w:ilvl w:val="0"/>
          <w:numId w:val="23"/>
        </w:numPr>
        <w:tabs>
          <w:tab w:val="left" w:pos="426"/>
        </w:tabs>
        <w:spacing w:after="60"/>
        <w:ind w:left="426" w:hanging="426"/>
        <w:divId w:val="1932812704"/>
        <w:rPr>
          <w:sz w:val="20"/>
        </w:rPr>
      </w:pPr>
      <w:r w:rsidRPr="0069484A">
        <w:rPr>
          <w:sz w:val="20"/>
        </w:rPr>
        <w:t>Sofern zu leistende Zahlungen von Anlagenbetreibern für Pflichtverstöße als nachträgliche Korrekturen zu berücksichtigen sind, sind die zu leistenden Zahlungen mit positivem Vorzeichen anzugeben. Andernfalls sind die Beträge mit negativem Vorzeichen anzugeben.</w:t>
      </w:r>
    </w:p>
    <w:p w14:paraId="3A26014E" w14:textId="77777777" w:rsidR="00026C3F" w:rsidRDefault="00026C3F" w:rsidP="00026C3F">
      <w:pPr>
        <w:keepNext/>
        <w:spacing w:before="100" w:beforeAutospacing="1" w:after="100" w:afterAutospacing="1"/>
        <w:divId w:val="1932812704"/>
      </w:pPr>
      <w:r>
        <w:rPr>
          <w:b/>
          <w:bCs/>
        </w:rPr>
        <w:t>Zusammenfassung</w:t>
      </w:r>
    </w:p>
    <w:p w14:paraId="5F0CE048" w14:textId="77777777" w:rsidR="00026C3F" w:rsidRDefault="00026C3F" w:rsidP="00026C3F">
      <w:pPr>
        <w:spacing w:before="100" w:beforeAutospacing="1" w:after="100" w:afterAutospacing="1"/>
        <w:divId w:val="1932812704"/>
      </w:pPr>
      <w:r>
        <w:t>Die nachfolgende Tabelle fasst die Zahlungsansprüche und -verpflichtungen gegenüber dem vorgelagerten Übertragungsnetzbetreiber für das Kalenderjahr 2025 zusammen:</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448"/>
        <w:gridCol w:w="6071"/>
        <w:gridCol w:w="709"/>
        <w:gridCol w:w="1834"/>
      </w:tblGrid>
      <w:tr w:rsidR="00A61675" w14:paraId="5EE8FA45" w14:textId="77777777" w:rsidTr="0069484A">
        <w:trPr>
          <w:divId w:val="1932812704"/>
          <w:tblHeader/>
        </w:trPr>
        <w:tc>
          <w:tcPr>
            <w:tcW w:w="7224" w:type="dxa"/>
            <w:gridSpan w:val="3"/>
            <w:tcBorders>
              <w:top w:val="nil"/>
              <w:left w:val="nil"/>
              <w:bottom w:val="single" w:sz="4" w:space="0" w:color="auto"/>
              <w:right w:val="single" w:sz="4" w:space="0" w:color="auto"/>
            </w:tcBorders>
            <w:hideMark/>
          </w:tcPr>
          <w:p w14:paraId="3CB314D3" w14:textId="77777777" w:rsidR="00A61675" w:rsidRDefault="00A61675" w:rsidP="00A62E6F">
            <w:pPr>
              <w:rPr>
                <w:sz w:val="20"/>
              </w:rPr>
            </w:pPr>
          </w:p>
        </w:tc>
        <w:tc>
          <w:tcPr>
            <w:tcW w:w="1833" w:type="dxa"/>
            <w:tcBorders>
              <w:top w:val="outset" w:sz="6" w:space="0" w:color="auto"/>
              <w:left w:val="single" w:sz="4" w:space="0" w:color="auto"/>
              <w:bottom w:val="outset" w:sz="6" w:space="0" w:color="auto"/>
              <w:right w:val="outset" w:sz="6" w:space="0" w:color="auto"/>
            </w:tcBorders>
            <w:vAlign w:val="bottom"/>
            <w:hideMark/>
          </w:tcPr>
          <w:p w14:paraId="3D32BF7D" w14:textId="77777777" w:rsidR="00A61675" w:rsidRDefault="00A61675" w:rsidP="00A62E6F">
            <w:pPr>
              <w:pStyle w:val="idwtababs"/>
              <w:jc w:val="center"/>
              <w:rPr>
                <w:rFonts w:eastAsiaTheme="minorEastAsia"/>
                <w:sz w:val="24"/>
                <w:szCs w:val="24"/>
              </w:rPr>
            </w:pPr>
            <w:r>
              <w:rPr>
                <w:b/>
                <w:bCs w:val="0"/>
              </w:rPr>
              <w:t>[EUR]</w:t>
            </w:r>
          </w:p>
        </w:tc>
      </w:tr>
      <w:tr w:rsidR="00762983" w14:paraId="6FA4B699" w14:textId="77777777" w:rsidTr="00396FE9">
        <w:trPr>
          <w:divId w:val="1932812704"/>
        </w:trPr>
        <w:tc>
          <w:tcPr>
            <w:tcW w:w="447" w:type="dxa"/>
            <w:tcBorders>
              <w:top w:val="single" w:sz="4" w:space="0" w:color="auto"/>
              <w:left w:val="single" w:sz="4" w:space="0" w:color="auto"/>
              <w:bottom w:val="single" w:sz="4" w:space="0" w:color="auto"/>
              <w:right w:val="nil"/>
            </w:tcBorders>
            <w:vAlign w:val="center"/>
            <w:hideMark/>
          </w:tcPr>
          <w:p w14:paraId="2AD61D6F" w14:textId="77777777" w:rsidR="00026C3F" w:rsidRDefault="00026C3F" w:rsidP="00A62E6F"/>
        </w:tc>
        <w:tc>
          <w:tcPr>
            <w:tcW w:w="6068" w:type="dxa"/>
            <w:tcBorders>
              <w:top w:val="single" w:sz="4" w:space="0" w:color="auto"/>
              <w:left w:val="nil"/>
              <w:bottom w:val="single" w:sz="4" w:space="0" w:color="auto"/>
              <w:right w:val="outset" w:sz="6" w:space="0" w:color="auto"/>
            </w:tcBorders>
            <w:vAlign w:val="center"/>
            <w:hideMark/>
          </w:tcPr>
          <w:p w14:paraId="7333E22B" w14:textId="77777777" w:rsidR="00026C3F" w:rsidRDefault="00026C3F" w:rsidP="00A62E6F">
            <w:pPr>
              <w:pStyle w:val="idwtababs"/>
              <w:rPr>
                <w:rFonts w:eastAsiaTheme="minorEastAsia"/>
                <w:sz w:val="24"/>
                <w:szCs w:val="24"/>
              </w:rPr>
            </w:pPr>
            <w:r>
              <w:t>Einspeisevergütung</w:t>
            </w:r>
          </w:p>
        </w:tc>
        <w:tc>
          <w:tcPr>
            <w:tcW w:w="709" w:type="dxa"/>
            <w:tcBorders>
              <w:top w:val="single" w:sz="4" w:space="0" w:color="auto"/>
              <w:left w:val="outset" w:sz="6" w:space="0" w:color="auto"/>
              <w:bottom w:val="outset" w:sz="6" w:space="0" w:color="auto"/>
              <w:right w:val="outset" w:sz="6" w:space="0" w:color="auto"/>
            </w:tcBorders>
            <w:vAlign w:val="center"/>
            <w:hideMark/>
          </w:tcPr>
          <w:p w14:paraId="28788A54" w14:textId="77777777" w:rsidR="00026C3F" w:rsidRDefault="00026C3F" w:rsidP="00A62E6F">
            <w:pPr>
              <w:pStyle w:val="idwtababs"/>
            </w:pPr>
            <w:r>
              <w:rPr>
                <w:b/>
                <w:bCs w:val="0"/>
              </w:rPr>
              <w:t>(1)</w:t>
            </w:r>
          </w:p>
        </w:tc>
        <w:tc>
          <w:tcPr>
            <w:tcW w:w="1833" w:type="dxa"/>
            <w:tcBorders>
              <w:top w:val="outset" w:sz="6" w:space="0" w:color="auto"/>
              <w:left w:val="outset" w:sz="6" w:space="0" w:color="auto"/>
              <w:bottom w:val="outset" w:sz="6" w:space="0" w:color="auto"/>
              <w:right w:val="outset" w:sz="6" w:space="0" w:color="auto"/>
            </w:tcBorders>
            <w:hideMark/>
          </w:tcPr>
          <w:p w14:paraId="335F71FD" w14:textId="77777777" w:rsidR="00026C3F" w:rsidRDefault="00026C3F" w:rsidP="00A62E6F">
            <w:pPr>
              <w:pStyle w:val="idwtababs"/>
            </w:pPr>
            <w:r>
              <w:t> </w:t>
            </w:r>
          </w:p>
        </w:tc>
      </w:tr>
      <w:tr w:rsidR="00762983" w14:paraId="34A1509C" w14:textId="77777777" w:rsidTr="00A61675">
        <w:trPr>
          <w:divId w:val="1932812704"/>
        </w:trPr>
        <w:tc>
          <w:tcPr>
            <w:tcW w:w="447" w:type="dxa"/>
            <w:tcBorders>
              <w:top w:val="single" w:sz="4" w:space="0" w:color="auto"/>
              <w:left w:val="single" w:sz="4" w:space="0" w:color="auto"/>
              <w:bottom w:val="single" w:sz="4" w:space="0" w:color="auto"/>
              <w:right w:val="nil"/>
            </w:tcBorders>
            <w:vAlign w:val="center"/>
            <w:hideMark/>
          </w:tcPr>
          <w:p w14:paraId="1CFDF48F" w14:textId="77777777" w:rsidR="00026C3F" w:rsidRDefault="00026C3F" w:rsidP="00A62E6F">
            <w:pPr>
              <w:pStyle w:val="idwtababs"/>
            </w:pPr>
            <w:r>
              <w:t>+</w:t>
            </w:r>
          </w:p>
        </w:tc>
        <w:tc>
          <w:tcPr>
            <w:tcW w:w="6068" w:type="dxa"/>
            <w:tcBorders>
              <w:top w:val="single" w:sz="4" w:space="0" w:color="auto"/>
              <w:left w:val="nil"/>
              <w:bottom w:val="outset" w:sz="6" w:space="0" w:color="auto"/>
              <w:right w:val="outset" w:sz="6" w:space="0" w:color="auto"/>
            </w:tcBorders>
            <w:vAlign w:val="center"/>
            <w:hideMark/>
          </w:tcPr>
          <w:p w14:paraId="559BD7DB" w14:textId="77777777" w:rsidR="00026C3F" w:rsidRDefault="00026C3F" w:rsidP="00A62E6F">
            <w:pPr>
              <w:pStyle w:val="idwtababs"/>
            </w:pPr>
            <w:r>
              <w:t>Marktprämie</w:t>
            </w:r>
          </w:p>
        </w:tc>
        <w:tc>
          <w:tcPr>
            <w:tcW w:w="709" w:type="dxa"/>
            <w:tcBorders>
              <w:top w:val="outset" w:sz="6" w:space="0" w:color="auto"/>
              <w:left w:val="outset" w:sz="6" w:space="0" w:color="auto"/>
              <w:bottom w:val="outset" w:sz="6" w:space="0" w:color="auto"/>
              <w:right w:val="outset" w:sz="6" w:space="0" w:color="auto"/>
            </w:tcBorders>
            <w:vAlign w:val="center"/>
            <w:hideMark/>
          </w:tcPr>
          <w:p w14:paraId="56B4D874" w14:textId="77777777" w:rsidR="00026C3F" w:rsidRDefault="00026C3F" w:rsidP="00A62E6F">
            <w:pPr>
              <w:pStyle w:val="idwtababs"/>
            </w:pPr>
            <w:r>
              <w:rPr>
                <w:b/>
                <w:bCs w:val="0"/>
              </w:rPr>
              <w:t>(2)</w:t>
            </w:r>
          </w:p>
        </w:tc>
        <w:tc>
          <w:tcPr>
            <w:tcW w:w="1833" w:type="dxa"/>
            <w:tcBorders>
              <w:top w:val="outset" w:sz="6" w:space="0" w:color="auto"/>
              <w:left w:val="outset" w:sz="6" w:space="0" w:color="auto"/>
              <w:bottom w:val="outset" w:sz="6" w:space="0" w:color="auto"/>
              <w:right w:val="outset" w:sz="6" w:space="0" w:color="auto"/>
            </w:tcBorders>
            <w:hideMark/>
          </w:tcPr>
          <w:p w14:paraId="72E0C98E" w14:textId="77777777" w:rsidR="00026C3F" w:rsidRDefault="00026C3F" w:rsidP="00A62E6F">
            <w:pPr>
              <w:pStyle w:val="idwtababs"/>
            </w:pPr>
            <w:r>
              <w:t> </w:t>
            </w:r>
          </w:p>
        </w:tc>
      </w:tr>
      <w:tr w:rsidR="00A61675" w14:paraId="000446DB" w14:textId="77777777" w:rsidTr="00A61675">
        <w:trPr>
          <w:divId w:val="1932812704"/>
        </w:trPr>
        <w:tc>
          <w:tcPr>
            <w:tcW w:w="447" w:type="dxa"/>
            <w:tcBorders>
              <w:top w:val="single" w:sz="4" w:space="0" w:color="auto"/>
              <w:left w:val="single" w:sz="4" w:space="0" w:color="auto"/>
              <w:bottom w:val="single" w:sz="4" w:space="0" w:color="auto"/>
              <w:right w:val="nil"/>
            </w:tcBorders>
            <w:vAlign w:val="center"/>
            <w:hideMark/>
          </w:tcPr>
          <w:p w14:paraId="2B9E4C9C" w14:textId="77777777" w:rsidR="00026C3F" w:rsidRDefault="00026C3F" w:rsidP="00A62E6F">
            <w:pPr>
              <w:pStyle w:val="idwtababs"/>
            </w:pPr>
            <w:r>
              <w:t>+</w:t>
            </w:r>
          </w:p>
        </w:tc>
        <w:tc>
          <w:tcPr>
            <w:tcW w:w="6068" w:type="dxa"/>
            <w:tcBorders>
              <w:top w:val="outset" w:sz="6" w:space="0" w:color="auto"/>
              <w:left w:val="nil"/>
              <w:bottom w:val="outset" w:sz="6" w:space="0" w:color="auto"/>
              <w:right w:val="outset" w:sz="6" w:space="0" w:color="auto"/>
            </w:tcBorders>
            <w:vAlign w:val="center"/>
            <w:hideMark/>
          </w:tcPr>
          <w:p w14:paraId="72EDD1A3" w14:textId="77777777" w:rsidR="00026C3F" w:rsidRDefault="00026C3F" w:rsidP="00A62E6F">
            <w:pPr>
              <w:pStyle w:val="idwtababs"/>
            </w:pPr>
            <w:r>
              <w:t>Mieterstromzuschlag</w:t>
            </w:r>
          </w:p>
        </w:tc>
        <w:tc>
          <w:tcPr>
            <w:tcW w:w="709" w:type="dxa"/>
            <w:tcBorders>
              <w:top w:val="outset" w:sz="6" w:space="0" w:color="auto"/>
              <w:left w:val="outset" w:sz="6" w:space="0" w:color="auto"/>
              <w:bottom w:val="outset" w:sz="6" w:space="0" w:color="auto"/>
              <w:right w:val="outset" w:sz="6" w:space="0" w:color="auto"/>
            </w:tcBorders>
            <w:vAlign w:val="center"/>
            <w:hideMark/>
          </w:tcPr>
          <w:p w14:paraId="289059AB" w14:textId="77777777" w:rsidR="00026C3F" w:rsidRDefault="00026C3F" w:rsidP="00A62E6F">
            <w:pPr>
              <w:pStyle w:val="idwtababs"/>
            </w:pPr>
            <w:r>
              <w:rPr>
                <w:b/>
                <w:bCs w:val="0"/>
              </w:rPr>
              <w:t>(3)</w:t>
            </w:r>
          </w:p>
        </w:tc>
        <w:tc>
          <w:tcPr>
            <w:tcW w:w="1833" w:type="dxa"/>
            <w:tcBorders>
              <w:top w:val="outset" w:sz="6" w:space="0" w:color="auto"/>
              <w:left w:val="outset" w:sz="6" w:space="0" w:color="auto"/>
              <w:bottom w:val="outset" w:sz="6" w:space="0" w:color="auto"/>
              <w:right w:val="outset" w:sz="6" w:space="0" w:color="auto"/>
            </w:tcBorders>
            <w:hideMark/>
          </w:tcPr>
          <w:p w14:paraId="44CCCDE9" w14:textId="77777777" w:rsidR="00026C3F" w:rsidRDefault="00026C3F" w:rsidP="00A62E6F">
            <w:pPr>
              <w:pStyle w:val="idwtababs"/>
            </w:pPr>
            <w:r>
              <w:t> </w:t>
            </w:r>
          </w:p>
        </w:tc>
      </w:tr>
      <w:tr w:rsidR="00A61675" w14:paraId="4F8921E1" w14:textId="77777777" w:rsidTr="00A61675">
        <w:trPr>
          <w:divId w:val="1932812704"/>
        </w:trPr>
        <w:tc>
          <w:tcPr>
            <w:tcW w:w="447" w:type="dxa"/>
            <w:tcBorders>
              <w:top w:val="single" w:sz="4" w:space="0" w:color="auto"/>
              <w:left w:val="single" w:sz="4" w:space="0" w:color="auto"/>
              <w:bottom w:val="single" w:sz="4" w:space="0" w:color="auto"/>
              <w:right w:val="nil"/>
            </w:tcBorders>
            <w:vAlign w:val="center"/>
            <w:hideMark/>
          </w:tcPr>
          <w:p w14:paraId="3F1EDF8E" w14:textId="77777777" w:rsidR="00026C3F" w:rsidRDefault="00026C3F" w:rsidP="00A62E6F">
            <w:pPr>
              <w:pStyle w:val="idwtababs"/>
            </w:pPr>
            <w:r>
              <w:t>+</w:t>
            </w:r>
          </w:p>
        </w:tc>
        <w:tc>
          <w:tcPr>
            <w:tcW w:w="6068" w:type="dxa"/>
            <w:tcBorders>
              <w:top w:val="outset" w:sz="6" w:space="0" w:color="auto"/>
              <w:left w:val="nil"/>
              <w:bottom w:val="outset" w:sz="6" w:space="0" w:color="auto"/>
              <w:right w:val="outset" w:sz="6" w:space="0" w:color="auto"/>
            </w:tcBorders>
            <w:vAlign w:val="center"/>
            <w:hideMark/>
          </w:tcPr>
          <w:p w14:paraId="1E731392" w14:textId="77777777" w:rsidR="00026C3F" w:rsidRDefault="00026C3F" w:rsidP="00A62E6F">
            <w:pPr>
              <w:pStyle w:val="idwtababs"/>
            </w:pPr>
            <w:r>
              <w:t>Zahlungsanspruch für Flexibilität</w:t>
            </w:r>
          </w:p>
        </w:tc>
        <w:tc>
          <w:tcPr>
            <w:tcW w:w="709" w:type="dxa"/>
            <w:tcBorders>
              <w:top w:val="outset" w:sz="6" w:space="0" w:color="auto"/>
              <w:left w:val="outset" w:sz="6" w:space="0" w:color="auto"/>
              <w:bottom w:val="outset" w:sz="6" w:space="0" w:color="auto"/>
              <w:right w:val="outset" w:sz="6" w:space="0" w:color="auto"/>
            </w:tcBorders>
            <w:vAlign w:val="center"/>
            <w:hideMark/>
          </w:tcPr>
          <w:p w14:paraId="3FC2863B" w14:textId="77777777" w:rsidR="00026C3F" w:rsidRDefault="00026C3F" w:rsidP="00A62E6F">
            <w:pPr>
              <w:pStyle w:val="idwtababs"/>
            </w:pPr>
            <w:r>
              <w:rPr>
                <w:b/>
                <w:bCs w:val="0"/>
              </w:rPr>
              <w:t>(4)</w:t>
            </w:r>
          </w:p>
        </w:tc>
        <w:tc>
          <w:tcPr>
            <w:tcW w:w="1833" w:type="dxa"/>
            <w:tcBorders>
              <w:top w:val="outset" w:sz="6" w:space="0" w:color="auto"/>
              <w:left w:val="outset" w:sz="6" w:space="0" w:color="auto"/>
              <w:bottom w:val="outset" w:sz="6" w:space="0" w:color="auto"/>
              <w:right w:val="outset" w:sz="6" w:space="0" w:color="auto"/>
            </w:tcBorders>
            <w:hideMark/>
          </w:tcPr>
          <w:p w14:paraId="24A45622" w14:textId="77777777" w:rsidR="00026C3F" w:rsidRDefault="00026C3F" w:rsidP="00A62E6F">
            <w:pPr>
              <w:pStyle w:val="idwtababs"/>
            </w:pPr>
            <w:r>
              <w:t> </w:t>
            </w:r>
          </w:p>
        </w:tc>
      </w:tr>
      <w:tr w:rsidR="00A61675" w14:paraId="6CC3A33C" w14:textId="77777777" w:rsidTr="00A61675">
        <w:trPr>
          <w:divId w:val="1932812704"/>
        </w:trPr>
        <w:tc>
          <w:tcPr>
            <w:tcW w:w="447" w:type="dxa"/>
            <w:tcBorders>
              <w:top w:val="single" w:sz="4" w:space="0" w:color="auto"/>
              <w:left w:val="single" w:sz="4" w:space="0" w:color="auto"/>
              <w:bottom w:val="single" w:sz="4" w:space="0" w:color="auto"/>
              <w:right w:val="nil"/>
            </w:tcBorders>
            <w:vAlign w:val="center"/>
            <w:hideMark/>
          </w:tcPr>
          <w:p w14:paraId="5AE5922C" w14:textId="77777777" w:rsidR="00026C3F" w:rsidRDefault="00026C3F" w:rsidP="00A62E6F">
            <w:pPr>
              <w:pStyle w:val="idwtababs"/>
            </w:pPr>
            <w:r>
              <w:lastRenderedPageBreak/>
              <w:t>+</w:t>
            </w:r>
          </w:p>
        </w:tc>
        <w:tc>
          <w:tcPr>
            <w:tcW w:w="6068" w:type="dxa"/>
            <w:tcBorders>
              <w:top w:val="outset" w:sz="6" w:space="0" w:color="auto"/>
              <w:left w:val="nil"/>
              <w:bottom w:val="outset" w:sz="6" w:space="0" w:color="auto"/>
              <w:right w:val="outset" w:sz="6" w:space="0" w:color="auto"/>
            </w:tcBorders>
            <w:vAlign w:val="center"/>
            <w:hideMark/>
          </w:tcPr>
          <w:p w14:paraId="34258F3B" w14:textId="77777777" w:rsidR="00026C3F" w:rsidRDefault="00026C3F" w:rsidP="00A62E6F">
            <w:pPr>
              <w:pStyle w:val="idwtababs"/>
            </w:pPr>
            <w:r>
              <w:t>Finanzielle Beteiligung der Kommunen am Ausbau</w:t>
            </w:r>
          </w:p>
        </w:tc>
        <w:tc>
          <w:tcPr>
            <w:tcW w:w="709" w:type="dxa"/>
            <w:tcBorders>
              <w:top w:val="outset" w:sz="6" w:space="0" w:color="auto"/>
              <w:left w:val="outset" w:sz="6" w:space="0" w:color="auto"/>
              <w:bottom w:val="outset" w:sz="6" w:space="0" w:color="auto"/>
              <w:right w:val="outset" w:sz="6" w:space="0" w:color="auto"/>
            </w:tcBorders>
            <w:vAlign w:val="center"/>
            <w:hideMark/>
          </w:tcPr>
          <w:p w14:paraId="1FF49DD5" w14:textId="77777777" w:rsidR="00026C3F" w:rsidRDefault="00026C3F" w:rsidP="00A62E6F">
            <w:pPr>
              <w:pStyle w:val="idwtababs"/>
            </w:pPr>
            <w:r>
              <w:rPr>
                <w:b/>
                <w:bCs w:val="0"/>
              </w:rPr>
              <w:t>(5)</w:t>
            </w:r>
          </w:p>
        </w:tc>
        <w:tc>
          <w:tcPr>
            <w:tcW w:w="1833" w:type="dxa"/>
            <w:tcBorders>
              <w:top w:val="outset" w:sz="6" w:space="0" w:color="auto"/>
              <w:left w:val="outset" w:sz="6" w:space="0" w:color="auto"/>
              <w:bottom w:val="outset" w:sz="6" w:space="0" w:color="auto"/>
              <w:right w:val="outset" w:sz="6" w:space="0" w:color="auto"/>
            </w:tcBorders>
            <w:hideMark/>
          </w:tcPr>
          <w:p w14:paraId="0657AE3A" w14:textId="77777777" w:rsidR="00026C3F" w:rsidRDefault="00026C3F" w:rsidP="00A62E6F">
            <w:pPr>
              <w:pStyle w:val="idwtababs"/>
            </w:pPr>
            <w:r>
              <w:t> </w:t>
            </w:r>
          </w:p>
        </w:tc>
      </w:tr>
      <w:tr w:rsidR="00A61675" w14:paraId="2007CA2B" w14:textId="77777777" w:rsidTr="00A61675">
        <w:trPr>
          <w:divId w:val="1932812704"/>
        </w:trPr>
        <w:tc>
          <w:tcPr>
            <w:tcW w:w="447" w:type="dxa"/>
            <w:tcBorders>
              <w:top w:val="single" w:sz="4" w:space="0" w:color="auto"/>
              <w:left w:val="single" w:sz="4" w:space="0" w:color="auto"/>
              <w:bottom w:val="single" w:sz="4" w:space="0" w:color="auto"/>
              <w:right w:val="nil"/>
            </w:tcBorders>
            <w:vAlign w:val="center"/>
            <w:hideMark/>
          </w:tcPr>
          <w:p w14:paraId="285A2F88" w14:textId="77777777" w:rsidR="00026C3F" w:rsidRDefault="00026C3F" w:rsidP="00A62E6F">
            <w:pPr>
              <w:pStyle w:val="idwtababs"/>
            </w:pPr>
            <w:r>
              <w:t>+</w:t>
            </w:r>
          </w:p>
        </w:tc>
        <w:tc>
          <w:tcPr>
            <w:tcW w:w="6068" w:type="dxa"/>
            <w:tcBorders>
              <w:top w:val="outset" w:sz="6" w:space="0" w:color="auto"/>
              <w:left w:val="nil"/>
              <w:bottom w:val="outset" w:sz="6" w:space="0" w:color="auto"/>
              <w:right w:val="outset" w:sz="6" w:space="0" w:color="auto"/>
            </w:tcBorders>
            <w:vAlign w:val="center"/>
            <w:hideMark/>
          </w:tcPr>
          <w:p w14:paraId="26DE3C44" w14:textId="77777777" w:rsidR="00026C3F" w:rsidRDefault="00026C3F" w:rsidP="00A62E6F">
            <w:pPr>
              <w:pStyle w:val="idwtababs"/>
            </w:pPr>
            <w:r>
              <w:t>Projektsicherungsbeitrag</w:t>
            </w:r>
          </w:p>
        </w:tc>
        <w:tc>
          <w:tcPr>
            <w:tcW w:w="709" w:type="dxa"/>
            <w:tcBorders>
              <w:top w:val="outset" w:sz="6" w:space="0" w:color="auto"/>
              <w:left w:val="outset" w:sz="6" w:space="0" w:color="auto"/>
              <w:bottom w:val="outset" w:sz="6" w:space="0" w:color="auto"/>
              <w:right w:val="outset" w:sz="6" w:space="0" w:color="auto"/>
            </w:tcBorders>
            <w:vAlign w:val="center"/>
            <w:hideMark/>
          </w:tcPr>
          <w:p w14:paraId="36BAB799" w14:textId="77777777" w:rsidR="00026C3F" w:rsidRDefault="00026C3F" w:rsidP="00A62E6F">
            <w:pPr>
              <w:pStyle w:val="idwtababs"/>
            </w:pPr>
            <w:r>
              <w:rPr>
                <w:b/>
                <w:bCs w:val="0"/>
              </w:rPr>
              <w:t>(6)</w:t>
            </w:r>
          </w:p>
        </w:tc>
        <w:tc>
          <w:tcPr>
            <w:tcW w:w="1833" w:type="dxa"/>
            <w:tcBorders>
              <w:top w:val="outset" w:sz="6" w:space="0" w:color="auto"/>
              <w:left w:val="outset" w:sz="6" w:space="0" w:color="auto"/>
              <w:bottom w:val="outset" w:sz="6" w:space="0" w:color="auto"/>
              <w:right w:val="outset" w:sz="6" w:space="0" w:color="auto"/>
            </w:tcBorders>
            <w:hideMark/>
          </w:tcPr>
          <w:p w14:paraId="34223995" w14:textId="77777777" w:rsidR="00026C3F" w:rsidRDefault="00026C3F" w:rsidP="00A62E6F">
            <w:pPr>
              <w:pStyle w:val="idwtababs"/>
            </w:pPr>
            <w:r>
              <w:t> </w:t>
            </w:r>
          </w:p>
        </w:tc>
      </w:tr>
      <w:tr w:rsidR="00762983" w14:paraId="6FAEB290" w14:textId="77777777" w:rsidTr="00A61675">
        <w:trPr>
          <w:divId w:val="1932812704"/>
        </w:trPr>
        <w:tc>
          <w:tcPr>
            <w:tcW w:w="447" w:type="dxa"/>
            <w:tcBorders>
              <w:top w:val="single" w:sz="4" w:space="0" w:color="auto"/>
              <w:left w:val="single" w:sz="4" w:space="0" w:color="auto"/>
              <w:bottom w:val="single" w:sz="4" w:space="0" w:color="auto"/>
              <w:right w:val="nil"/>
            </w:tcBorders>
            <w:vAlign w:val="center"/>
            <w:hideMark/>
          </w:tcPr>
          <w:p w14:paraId="65E3A092" w14:textId="77777777" w:rsidR="00026C3F" w:rsidRDefault="00026C3F" w:rsidP="00A62E6F">
            <w:pPr>
              <w:pStyle w:val="idwtababs"/>
            </w:pPr>
            <w:r>
              <w:t>-</w:t>
            </w:r>
          </w:p>
        </w:tc>
        <w:tc>
          <w:tcPr>
            <w:tcW w:w="6068" w:type="dxa"/>
            <w:tcBorders>
              <w:top w:val="outset" w:sz="6" w:space="0" w:color="auto"/>
              <w:left w:val="nil"/>
              <w:bottom w:val="outset" w:sz="6" w:space="0" w:color="auto"/>
              <w:right w:val="outset" w:sz="6" w:space="0" w:color="auto"/>
            </w:tcBorders>
            <w:vAlign w:val="center"/>
            <w:hideMark/>
          </w:tcPr>
          <w:p w14:paraId="6893EFC8" w14:textId="77777777" w:rsidR="00026C3F" w:rsidRDefault="00026C3F" w:rsidP="00A62E6F">
            <w:pPr>
              <w:pStyle w:val="idwtababs"/>
            </w:pPr>
            <w:r>
              <w:t>Zahlungsansprüche bei Pflichtverstößen</w:t>
            </w:r>
          </w:p>
        </w:tc>
        <w:tc>
          <w:tcPr>
            <w:tcW w:w="709" w:type="dxa"/>
            <w:tcBorders>
              <w:top w:val="outset" w:sz="6" w:space="0" w:color="auto"/>
              <w:left w:val="outset" w:sz="6" w:space="0" w:color="auto"/>
              <w:bottom w:val="outset" w:sz="6" w:space="0" w:color="auto"/>
              <w:right w:val="outset" w:sz="6" w:space="0" w:color="auto"/>
            </w:tcBorders>
            <w:vAlign w:val="center"/>
            <w:hideMark/>
          </w:tcPr>
          <w:p w14:paraId="0E62B755" w14:textId="77777777" w:rsidR="00026C3F" w:rsidRDefault="00026C3F" w:rsidP="00A62E6F">
            <w:pPr>
              <w:pStyle w:val="idwtababs"/>
            </w:pPr>
            <w:r>
              <w:rPr>
                <w:b/>
                <w:bCs w:val="0"/>
              </w:rPr>
              <w:t>(7)</w:t>
            </w:r>
          </w:p>
        </w:tc>
        <w:tc>
          <w:tcPr>
            <w:tcW w:w="1833" w:type="dxa"/>
            <w:tcBorders>
              <w:top w:val="outset" w:sz="6" w:space="0" w:color="auto"/>
              <w:left w:val="outset" w:sz="6" w:space="0" w:color="auto"/>
              <w:bottom w:val="outset" w:sz="6" w:space="0" w:color="auto"/>
              <w:right w:val="outset" w:sz="6" w:space="0" w:color="auto"/>
            </w:tcBorders>
            <w:hideMark/>
          </w:tcPr>
          <w:p w14:paraId="7C1FEC07" w14:textId="77777777" w:rsidR="00026C3F" w:rsidRDefault="00026C3F" w:rsidP="00A62E6F">
            <w:pPr>
              <w:pStyle w:val="idwtababs"/>
            </w:pPr>
            <w:r>
              <w:t> </w:t>
            </w:r>
          </w:p>
        </w:tc>
      </w:tr>
      <w:tr w:rsidR="00762983" w14:paraId="6219DD18" w14:textId="77777777" w:rsidTr="00A61675">
        <w:trPr>
          <w:divId w:val="1932812704"/>
        </w:trPr>
        <w:tc>
          <w:tcPr>
            <w:tcW w:w="447" w:type="dxa"/>
            <w:tcBorders>
              <w:top w:val="single" w:sz="4" w:space="0" w:color="auto"/>
              <w:left w:val="single" w:sz="4" w:space="0" w:color="auto"/>
              <w:bottom w:val="single" w:sz="4" w:space="0" w:color="auto"/>
              <w:right w:val="nil"/>
            </w:tcBorders>
            <w:vAlign w:val="center"/>
            <w:hideMark/>
          </w:tcPr>
          <w:p w14:paraId="1C053F6B" w14:textId="77777777" w:rsidR="00026C3F" w:rsidRDefault="00026C3F" w:rsidP="00A62E6F">
            <w:pPr>
              <w:pStyle w:val="idwtababs"/>
            </w:pPr>
            <w:r>
              <w:t>-</w:t>
            </w:r>
          </w:p>
        </w:tc>
        <w:tc>
          <w:tcPr>
            <w:tcW w:w="6068" w:type="dxa"/>
            <w:tcBorders>
              <w:top w:val="outset" w:sz="6" w:space="0" w:color="auto"/>
              <w:left w:val="nil"/>
              <w:bottom w:val="outset" w:sz="6" w:space="0" w:color="auto"/>
              <w:right w:val="outset" w:sz="6" w:space="0" w:color="auto"/>
            </w:tcBorders>
            <w:vAlign w:val="center"/>
            <w:hideMark/>
          </w:tcPr>
          <w:p w14:paraId="105E9E27" w14:textId="77777777" w:rsidR="00026C3F" w:rsidRDefault="00026C3F" w:rsidP="00A62E6F">
            <w:pPr>
              <w:pStyle w:val="idwtababs"/>
            </w:pPr>
            <w:r>
              <w:t>Vermiedene Netzentgelte</w:t>
            </w:r>
          </w:p>
        </w:tc>
        <w:tc>
          <w:tcPr>
            <w:tcW w:w="709" w:type="dxa"/>
            <w:tcBorders>
              <w:top w:val="outset" w:sz="6" w:space="0" w:color="auto"/>
              <w:left w:val="outset" w:sz="6" w:space="0" w:color="auto"/>
              <w:bottom w:val="outset" w:sz="6" w:space="0" w:color="auto"/>
              <w:right w:val="outset" w:sz="6" w:space="0" w:color="auto"/>
            </w:tcBorders>
            <w:vAlign w:val="center"/>
            <w:hideMark/>
          </w:tcPr>
          <w:p w14:paraId="18E5ED13" w14:textId="77777777" w:rsidR="00026C3F" w:rsidRDefault="00026C3F" w:rsidP="00A62E6F">
            <w:pPr>
              <w:pStyle w:val="idwtababs"/>
            </w:pPr>
            <w:r>
              <w:rPr>
                <w:b/>
                <w:bCs w:val="0"/>
              </w:rPr>
              <w:t>(8)</w:t>
            </w:r>
          </w:p>
        </w:tc>
        <w:tc>
          <w:tcPr>
            <w:tcW w:w="1833" w:type="dxa"/>
            <w:tcBorders>
              <w:top w:val="outset" w:sz="6" w:space="0" w:color="auto"/>
              <w:left w:val="outset" w:sz="6" w:space="0" w:color="auto"/>
              <w:bottom w:val="outset" w:sz="6" w:space="0" w:color="auto"/>
              <w:right w:val="outset" w:sz="6" w:space="0" w:color="auto"/>
            </w:tcBorders>
            <w:hideMark/>
          </w:tcPr>
          <w:p w14:paraId="47C4C081" w14:textId="77777777" w:rsidR="00026C3F" w:rsidRDefault="00026C3F" w:rsidP="00A62E6F">
            <w:pPr>
              <w:pStyle w:val="idwtababs"/>
            </w:pPr>
            <w:r>
              <w:t> </w:t>
            </w:r>
          </w:p>
        </w:tc>
      </w:tr>
      <w:tr w:rsidR="00026C3F" w14:paraId="2164E7F0" w14:textId="77777777" w:rsidTr="00A61675">
        <w:trPr>
          <w:divId w:val="1932812704"/>
        </w:trPr>
        <w:tc>
          <w:tcPr>
            <w:tcW w:w="447" w:type="dxa"/>
            <w:tcBorders>
              <w:top w:val="single" w:sz="4" w:space="0" w:color="auto"/>
              <w:left w:val="nil"/>
              <w:bottom w:val="single" w:sz="4" w:space="0" w:color="auto"/>
              <w:right w:val="nil"/>
            </w:tcBorders>
            <w:hideMark/>
          </w:tcPr>
          <w:p w14:paraId="1543BF75" w14:textId="77777777" w:rsidR="00026C3F" w:rsidRDefault="00026C3F" w:rsidP="00A62E6F"/>
        </w:tc>
        <w:tc>
          <w:tcPr>
            <w:tcW w:w="6777" w:type="dxa"/>
            <w:gridSpan w:val="2"/>
            <w:tcBorders>
              <w:top w:val="outset" w:sz="6" w:space="0" w:color="auto"/>
              <w:left w:val="nil"/>
              <w:bottom w:val="outset" w:sz="6" w:space="0" w:color="auto"/>
              <w:right w:val="outset" w:sz="6" w:space="0" w:color="auto"/>
            </w:tcBorders>
            <w:vAlign w:val="center"/>
            <w:hideMark/>
          </w:tcPr>
          <w:p w14:paraId="6314A7E5" w14:textId="77777777" w:rsidR="00026C3F" w:rsidRDefault="00026C3F" w:rsidP="00A62E6F">
            <w:pPr>
              <w:pStyle w:val="idwtababs"/>
              <w:jc w:val="right"/>
              <w:rPr>
                <w:rFonts w:eastAsiaTheme="minorEastAsia"/>
                <w:sz w:val="24"/>
                <w:szCs w:val="24"/>
              </w:rPr>
            </w:pPr>
            <w:r>
              <w:t>Zwischenergebnis (1) bis (8)</w:t>
            </w:r>
          </w:p>
        </w:tc>
        <w:tc>
          <w:tcPr>
            <w:tcW w:w="1833" w:type="dxa"/>
            <w:tcBorders>
              <w:top w:val="outset" w:sz="6" w:space="0" w:color="auto"/>
              <w:left w:val="outset" w:sz="6" w:space="0" w:color="auto"/>
              <w:bottom w:val="outset" w:sz="6" w:space="0" w:color="auto"/>
              <w:right w:val="outset" w:sz="6" w:space="0" w:color="auto"/>
            </w:tcBorders>
            <w:hideMark/>
          </w:tcPr>
          <w:p w14:paraId="2A79E578" w14:textId="77777777" w:rsidR="00026C3F" w:rsidRDefault="00026C3F" w:rsidP="00A62E6F">
            <w:pPr>
              <w:pStyle w:val="idwtababs"/>
            </w:pPr>
            <w:r>
              <w:t> </w:t>
            </w:r>
          </w:p>
        </w:tc>
      </w:tr>
      <w:tr w:rsidR="00762983" w14:paraId="6C7A0ED8" w14:textId="77777777" w:rsidTr="00A61675">
        <w:trPr>
          <w:divId w:val="1932812704"/>
        </w:trPr>
        <w:tc>
          <w:tcPr>
            <w:tcW w:w="447" w:type="dxa"/>
            <w:tcBorders>
              <w:top w:val="single" w:sz="4" w:space="0" w:color="auto"/>
              <w:left w:val="single" w:sz="4" w:space="0" w:color="auto"/>
              <w:bottom w:val="single" w:sz="4" w:space="0" w:color="auto"/>
              <w:right w:val="nil"/>
            </w:tcBorders>
            <w:vAlign w:val="center"/>
            <w:hideMark/>
          </w:tcPr>
          <w:p w14:paraId="3722B6A2" w14:textId="77777777" w:rsidR="00026C3F" w:rsidRDefault="00026C3F" w:rsidP="00A62E6F">
            <w:pPr>
              <w:pStyle w:val="idwtababs"/>
            </w:pPr>
            <w:r>
              <w:t>-</w:t>
            </w:r>
          </w:p>
        </w:tc>
        <w:tc>
          <w:tcPr>
            <w:tcW w:w="6068" w:type="dxa"/>
            <w:tcBorders>
              <w:top w:val="outset" w:sz="6" w:space="0" w:color="auto"/>
              <w:left w:val="nil"/>
              <w:bottom w:val="outset" w:sz="6" w:space="0" w:color="auto"/>
              <w:right w:val="outset" w:sz="6" w:space="0" w:color="auto"/>
            </w:tcBorders>
            <w:vAlign w:val="center"/>
            <w:hideMark/>
          </w:tcPr>
          <w:p w14:paraId="49C53387" w14:textId="77777777" w:rsidR="00026C3F" w:rsidRDefault="00026C3F" w:rsidP="00A62E6F">
            <w:pPr>
              <w:pStyle w:val="idwtababs"/>
            </w:pPr>
            <w:r>
              <w:t>Nachträgliche Korrekturen und erhaltene Zahlungen für Eigenversorgung in Vorjahren</w:t>
            </w:r>
          </w:p>
        </w:tc>
        <w:tc>
          <w:tcPr>
            <w:tcW w:w="709" w:type="dxa"/>
            <w:tcBorders>
              <w:top w:val="outset" w:sz="6" w:space="0" w:color="auto"/>
              <w:left w:val="outset" w:sz="6" w:space="0" w:color="auto"/>
              <w:bottom w:val="outset" w:sz="6" w:space="0" w:color="auto"/>
              <w:right w:val="outset" w:sz="6" w:space="0" w:color="auto"/>
            </w:tcBorders>
            <w:vAlign w:val="center"/>
            <w:hideMark/>
          </w:tcPr>
          <w:p w14:paraId="2D56913E" w14:textId="77777777" w:rsidR="00026C3F" w:rsidRDefault="00026C3F" w:rsidP="00A62E6F">
            <w:pPr>
              <w:pStyle w:val="idwtababs"/>
            </w:pPr>
            <w:r>
              <w:rPr>
                <w:b/>
                <w:bCs w:val="0"/>
              </w:rPr>
              <w:t>(9)</w:t>
            </w:r>
          </w:p>
        </w:tc>
        <w:tc>
          <w:tcPr>
            <w:tcW w:w="1833" w:type="dxa"/>
            <w:tcBorders>
              <w:top w:val="outset" w:sz="6" w:space="0" w:color="auto"/>
              <w:left w:val="outset" w:sz="6" w:space="0" w:color="auto"/>
              <w:bottom w:val="outset" w:sz="6" w:space="0" w:color="auto"/>
              <w:right w:val="outset" w:sz="6" w:space="0" w:color="auto"/>
            </w:tcBorders>
            <w:hideMark/>
          </w:tcPr>
          <w:p w14:paraId="6D0ED123" w14:textId="77777777" w:rsidR="00026C3F" w:rsidRDefault="00026C3F" w:rsidP="00A62E6F">
            <w:pPr>
              <w:pStyle w:val="idwtababs"/>
            </w:pPr>
            <w:r>
              <w:t> </w:t>
            </w:r>
          </w:p>
        </w:tc>
      </w:tr>
      <w:tr w:rsidR="00762983" w14:paraId="5666B12D" w14:textId="77777777" w:rsidTr="00A61675">
        <w:trPr>
          <w:divId w:val="1932812704"/>
        </w:trPr>
        <w:tc>
          <w:tcPr>
            <w:tcW w:w="447" w:type="dxa"/>
            <w:tcBorders>
              <w:top w:val="single" w:sz="4" w:space="0" w:color="auto"/>
              <w:left w:val="single" w:sz="4" w:space="0" w:color="auto"/>
              <w:bottom w:val="single" w:sz="4" w:space="0" w:color="auto"/>
              <w:right w:val="nil"/>
            </w:tcBorders>
            <w:vAlign w:val="center"/>
            <w:hideMark/>
          </w:tcPr>
          <w:p w14:paraId="21985A4C" w14:textId="77777777" w:rsidR="00026C3F" w:rsidRDefault="00026C3F" w:rsidP="00A62E6F">
            <w:pPr>
              <w:pStyle w:val="idwtababs"/>
            </w:pPr>
            <w:r>
              <w:t>+</w:t>
            </w:r>
          </w:p>
        </w:tc>
        <w:tc>
          <w:tcPr>
            <w:tcW w:w="6068" w:type="dxa"/>
            <w:tcBorders>
              <w:top w:val="outset" w:sz="6" w:space="0" w:color="auto"/>
              <w:left w:val="nil"/>
              <w:bottom w:val="single" w:sz="4" w:space="0" w:color="auto"/>
              <w:right w:val="outset" w:sz="6" w:space="0" w:color="auto"/>
            </w:tcBorders>
            <w:vAlign w:val="center"/>
            <w:hideMark/>
          </w:tcPr>
          <w:p w14:paraId="6CCCE9C0" w14:textId="77777777" w:rsidR="00026C3F" w:rsidRDefault="00026C3F" w:rsidP="00A62E6F">
            <w:pPr>
              <w:pStyle w:val="idwtababs"/>
            </w:pPr>
            <w:r>
              <w:t xml:space="preserve">Nachträgliche Korrekturen nach § 20 Abs. 1 </w:t>
            </w:r>
            <w:proofErr w:type="spellStart"/>
            <w:r>
              <w:t>EnFG</w:t>
            </w:r>
            <w:proofErr w:type="spellEnd"/>
            <w:r>
              <w:t xml:space="preserve"> </w:t>
            </w:r>
          </w:p>
        </w:tc>
        <w:tc>
          <w:tcPr>
            <w:tcW w:w="709" w:type="dxa"/>
            <w:tcBorders>
              <w:top w:val="outset" w:sz="6" w:space="0" w:color="auto"/>
              <w:left w:val="outset" w:sz="6" w:space="0" w:color="auto"/>
              <w:bottom w:val="nil"/>
              <w:right w:val="outset" w:sz="6" w:space="0" w:color="auto"/>
            </w:tcBorders>
            <w:vAlign w:val="center"/>
            <w:hideMark/>
          </w:tcPr>
          <w:p w14:paraId="0C306A48" w14:textId="77777777" w:rsidR="00026C3F" w:rsidRDefault="00026C3F" w:rsidP="00A62E6F">
            <w:pPr>
              <w:pStyle w:val="idwtababs"/>
            </w:pPr>
            <w:r>
              <w:rPr>
                <w:b/>
                <w:bCs w:val="0"/>
              </w:rPr>
              <w:t>(10)</w:t>
            </w:r>
          </w:p>
        </w:tc>
        <w:tc>
          <w:tcPr>
            <w:tcW w:w="1833" w:type="dxa"/>
            <w:tcBorders>
              <w:top w:val="outset" w:sz="6" w:space="0" w:color="auto"/>
              <w:left w:val="outset" w:sz="6" w:space="0" w:color="auto"/>
              <w:bottom w:val="outset" w:sz="6" w:space="0" w:color="auto"/>
              <w:right w:val="outset" w:sz="6" w:space="0" w:color="auto"/>
            </w:tcBorders>
            <w:hideMark/>
          </w:tcPr>
          <w:p w14:paraId="386A05A1" w14:textId="77777777" w:rsidR="00026C3F" w:rsidRDefault="00026C3F" w:rsidP="00A62E6F">
            <w:pPr>
              <w:pStyle w:val="idwtababs"/>
            </w:pPr>
            <w:r>
              <w:t> </w:t>
            </w:r>
          </w:p>
        </w:tc>
      </w:tr>
      <w:tr w:rsidR="00762983" w14:paraId="71497E7E" w14:textId="77777777" w:rsidTr="00A61675">
        <w:trPr>
          <w:divId w:val="1932812704"/>
        </w:trPr>
        <w:tc>
          <w:tcPr>
            <w:tcW w:w="447" w:type="dxa"/>
            <w:tcBorders>
              <w:top w:val="single" w:sz="4" w:space="0" w:color="auto"/>
              <w:left w:val="nil"/>
              <w:bottom w:val="nil"/>
              <w:right w:val="nil"/>
            </w:tcBorders>
            <w:hideMark/>
          </w:tcPr>
          <w:p w14:paraId="3CA7F453" w14:textId="77777777" w:rsidR="00026C3F" w:rsidRDefault="00026C3F" w:rsidP="00A62E6F"/>
        </w:tc>
        <w:tc>
          <w:tcPr>
            <w:tcW w:w="6777" w:type="dxa"/>
            <w:gridSpan w:val="2"/>
            <w:tcBorders>
              <w:top w:val="nil"/>
              <w:left w:val="nil"/>
              <w:bottom w:val="nil"/>
              <w:right w:val="single" w:sz="4" w:space="0" w:color="auto"/>
            </w:tcBorders>
            <w:vAlign w:val="bottom"/>
            <w:hideMark/>
          </w:tcPr>
          <w:p w14:paraId="1254D9FD" w14:textId="77777777" w:rsidR="00026C3F" w:rsidRDefault="00026C3F" w:rsidP="00A62E6F">
            <w:pPr>
              <w:pStyle w:val="idwtababs"/>
              <w:rPr>
                <w:rFonts w:eastAsiaTheme="minorEastAsia"/>
                <w:sz w:val="24"/>
                <w:szCs w:val="24"/>
              </w:rPr>
            </w:pPr>
            <w:r>
              <w:rPr>
                <w:b/>
                <w:bCs w:val="0"/>
              </w:rPr>
              <w:t>Saldo</w:t>
            </w:r>
          </w:p>
        </w:tc>
        <w:tc>
          <w:tcPr>
            <w:tcW w:w="1833" w:type="dxa"/>
            <w:tcBorders>
              <w:top w:val="outset" w:sz="6" w:space="0" w:color="auto"/>
              <w:left w:val="single" w:sz="4" w:space="0" w:color="auto"/>
              <w:bottom w:val="outset" w:sz="6" w:space="0" w:color="auto"/>
              <w:right w:val="outset" w:sz="6" w:space="0" w:color="auto"/>
            </w:tcBorders>
            <w:hideMark/>
          </w:tcPr>
          <w:p w14:paraId="5C3B7D79" w14:textId="77777777" w:rsidR="00026C3F" w:rsidRDefault="00026C3F" w:rsidP="00A62E6F">
            <w:pPr>
              <w:pStyle w:val="idwtababs"/>
            </w:pPr>
            <w:r>
              <w:t> </w:t>
            </w:r>
          </w:p>
        </w:tc>
      </w:tr>
    </w:tbl>
    <w:p w14:paraId="2B86AB6D" w14:textId="77777777" w:rsidR="00026C3F" w:rsidRDefault="00026C3F" w:rsidP="00026C3F">
      <w:pPr>
        <w:divId w:val="1932812704"/>
      </w:pPr>
    </w:p>
    <w:p w14:paraId="686B2D9E" w14:textId="77777777" w:rsidR="00026C3F" w:rsidRDefault="00026C3F" w:rsidP="00026C3F">
      <w:pPr>
        <w:divId w:val="1932812704"/>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2183"/>
        <w:gridCol w:w="6887"/>
      </w:tblGrid>
      <w:tr w:rsidR="00026C3F" w:rsidRPr="00572810" w14:paraId="774C0B0C" w14:textId="77777777" w:rsidTr="00026C3F">
        <w:trPr>
          <w:divId w:val="1932812704"/>
          <w:tblCellSpacing w:w="0" w:type="dxa"/>
        </w:trPr>
        <w:tc>
          <w:tcPr>
            <w:tcW w:w="0" w:type="auto"/>
            <w:vMerge w:val="restart"/>
            <w:vAlign w:val="center"/>
            <w:hideMark/>
          </w:tcPr>
          <w:p w14:paraId="72C1E900" w14:textId="77777777" w:rsidR="00026C3F" w:rsidRPr="00572810" w:rsidRDefault="00026C3F" w:rsidP="00A62E6F">
            <w:pPr>
              <w:pStyle w:val="idwtababs"/>
              <w:rPr>
                <w:rFonts w:eastAsiaTheme="minorEastAsia"/>
                <w:sz w:val="22"/>
                <w:szCs w:val="22"/>
              </w:rPr>
            </w:pPr>
            <w:r w:rsidRPr="00572810">
              <w:rPr>
                <w:sz w:val="22"/>
                <w:szCs w:val="22"/>
              </w:rPr>
              <w:t>[</w:t>
            </w:r>
            <w:r w:rsidRPr="00572810">
              <w:rPr>
                <w:i/>
                <w:iCs/>
                <w:sz w:val="22"/>
                <w:szCs w:val="22"/>
              </w:rPr>
              <w:t>Ort, Datum</w:t>
            </w:r>
            <w:r w:rsidRPr="00572810">
              <w:rPr>
                <w:sz w:val="22"/>
                <w:szCs w:val="22"/>
              </w:rPr>
              <w:t>]</w:t>
            </w:r>
          </w:p>
        </w:tc>
        <w:tc>
          <w:tcPr>
            <w:tcW w:w="0" w:type="auto"/>
            <w:hideMark/>
          </w:tcPr>
          <w:p w14:paraId="1414A6B4" w14:textId="77777777" w:rsidR="00026C3F" w:rsidRPr="00572810" w:rsidRDefault="00026C3F" w:rsidP="00A62E6F">
            <w:pPr>
              <w:rPr>
                <w:szCs w:val="22"/>
              </w:rPr>
            </w:pPr>
          </w:p>
        </w:tc>
      </w:tr>
      <w:tr w:rsidR="00026C3F" w:rsidRPr="00572810" w14:paraId="7C09FD79" w14:textId="77777777" w:rsidTr="00026C3F">
        <w:trPr>
          <w:divId w:val="1932812704"/>
          <w:tblCellSpacing w:w="0" w:type="dxa"/>
        </w:trPr>
        <w:tc>
          <w:tcPr>
            <w:tcW w:w="0" w:type="auto"/>
            <w:vMerge/>
            <w:vAlign w:val="center"/>
            <w:hideMark/>
          </w:tcPr>
          <w:p w14:paraId="3B50CC63" w14:textId="77777777" w:rsidR="00026C3F" w:rsidRPr="00572810" w:rsidRDefault="00026C3F" w:rsidP="00A62E6F">
            <w:pPr>
              <w:rPr>
                <w:rFonts w:eastAsiaTheme="minorEastAsia"/>
                <w:szCs w:val="22"/>
              </w:rPr>
            </w:pPr>
          </w:p>
        </w:tc>
        <w:tc>
          <w:tcPr>
            <w:tcW w:w="0" w:type="auto"/>
            <w:tcBorders>
              <w:top w:val="single" w:sz="4" w:space="0" w:color="auto"/>
            </w:tcBorders>
            <w:vAlign w:val="center"/>
            <w:hideMark/>
          </w:tcPr>
          <w:p w14:paraId="25BDC3B7" w14:textId="77777777" w:rsidR="00026C3F" w:rsidRPr="00572810" w:rsidRDefault="00026C3F" w:rsidP="00A62E6F">
            <w:pPr>
              <w:pStyle w:val="idwtababs"/>
              <w:jc w:val="center"/>
              <w:rPr>
                <w:rFonts w:eastAsiaTheme="minorEastAsia"/>
                <w:sz w:val="22"/>
                <w:szCs w:val="22"/>
              </w:rPr>
            </w:pPr>
            <w:r w:rsidRPr="00572810">
              <w:rPr>
                <w:sz w:val="22"/>
                <w:szCs w:val="22"/>
              </w:rPr>
              <w:t>Unterschrift(en) für den Verteilernetzbetreiber</w:t>
            </w:r>
          </w:p>
        </w:tc>
      </w:tr>
    </w:tbl>
    <w:p w14:paraId="18B350CD" w14:textId="77777777" w:rsidR="00026C3F" w:rsidRDefault="00026C3F" w:rsidP="008848EE">
      <w:pPr>
        <w:spacing w:before="480" w:after="100" w:afterAutospacing="1"/>
        <w:divId w:val="1932812704"/>
      </w:pPr>
      <w:r>
        <w:t>[</w:t>
      </w:r>
      <w:r>
        <w:rPr>
          <w:i/>
          <w:iCs/>
        </w:rPr>
        <w:t xml:space="preserve">In der Regel sind Konkretisierungen der Vorgaben des </w:t>
      </w:r>
      <w:proofErr w:type="spellStart"/>
      <w:r>
        <w:rPr>
          <w:i/>
          <w:iCs/>
        </w:rPr>
        <w:t>EnFG</w:t>
      </w:r>
      <w:proofErr w:type="spellEnd"/>
      <w:r>
        <w:rPr>
          <w:i/>
          <w:iCs/>
        </w:rPr>
        <w:t xml:space="preserve"> für die Aufstellung der zusammengefassten EEG-Endabrechnung erforderlich, sodass der Verteilernetzbetreiber die zusammengefasste EEG-Endabrechnung um eine Anlage mit den maßgebenden Aufstellungsgrundsätzen ergänzt (vgl. Tz. 7). Bei den folgenden Formulierungen handelt es sich lediglich um Beispiele, die entsprechend dem Einzelfall anzupassen sind. Die Aufstellungsgrundsätze umfassen nicht die Beschreibung von individuellen internen Prozessen und Systemen.</w:t>
      </w:r>
    </w:p>
    <w:p w14:paraId="322F97E6" w14:textId="77777777" w:rsidR="00026C3F" w:rsidRPr="00DF4D70" w:rsidRDefault="00026C3F" w:rsidP="00026C3F">
      <w:pPr>
        <w:spacing w:before="100" w:beforeAutospacing="1" w:after="100" w:afterAutospacing="1"/>
        <w:divId w:val="1932812704"/>
        <w:rPr>
          <w:caps/>
        </w:rPr>
      </w:pPr>
      <w:r w:rsidRPr="00DF4D70">
        <w:rPr>
          <w:b/>
          <w:bCs/>
          <w:caps/>
        </w:rPr>
        <w:t>Anlage zur zusammengefassten EEG-Endabrechnung i.Z.m. dem Erneuerbare-Energien-Gesetz nach § 50 Nr. 2 BUchst. a und c EnFG der ... [</w:t>
      </w:r>
      <w:r w:rsidRPr="00DF4D70">
        <w:rPr>
          <w:b/>
          <w:bCs/>
          <w:i/>
          <w:iCs/>
          <w:caps/>
        </w:rPr>
        <w:t>Verteilernetzbetreiber</w:t>
      </w:r>
      <w:r w:rsidRPr="00DF4D70">
        <w:rPr>
          <w:b/>
          <w:bCs/>
          <w:caps/>
        </w:rPr>
        <w:t xml:space="preserve">] für das Kalenderjahr 2025 mit deren </w:t>
      </w:r>
      <w:proofErr w:type="spellStart"/>
      <w:r w:rsidRPr="00DF4D70">
        <w:rPr>
          <w:b/>
          <w:bCs/>
          <w:caps/>
        </w:rPr>
        <w:t>Maßgebenden</w:t>
      </w:r>
      <w:proofErr w:type="spellEnd"/>
      <w:r w:rsidRPr="00DF4D70">
        <w:rPr>
          <w:b/>
          <w:bCs/>
          <w:caps/>
        </w:rPr>
        <w:t xml:space="preserve"> AufstellungsGrundsätzen</w:t>
      </w:r>
    </w:p>
    <w:p w14:paraId="66E31AB5" w14:textId="77777777" w:rsidR="00026C3F" w:rsidRDefault="00026C3F" w:rsidP="00026C3F">
      <w:pPr>
        <w:spacing w:before="100" w:beforeAutospacing="1" w:after="100" w:afterAutospacing="1"/>
        <w:divId w:val="1932812704"/>
      </w:pPr>
      <w:r>
        <w:t xml:space="preserve">Der zusammengefassten EEG-Endabrechnung legen wir neben den Vorschriften des </w:t>
      </w:r>
      <w:proofErr w:type="spellStart"/>
      <w:r>
        <w:t>EnFG</w:t>
      </w:r>
      <w:proofErr w:type="spellEnd"/>
      <w:r>
        <w:t xml:space="preserve"> die folgenden Grundsätze zugrunde:</w:t>
      </w:r>
    </w:p>
    <w:p w14:paraId="31848EE3" w14:textId="77777777" w:rsidR="00026C3F" w:rsidRDefault="00026C3F" w:rsidP="00026C3F">
      <w:pPr>
        <w:spacing w:before="100" w:beforeAutospacing="1" w:after="100" w:afterAutospacing="1"/>
        <w:divId w:val="1932812704"/>
      </w:pPr>
      <w:r>
        <w:lastRenderedPageBreak/>
        <w:t>[</w:t>
      </w:r>
      <w:r>
        <w:rPr>
          <w:i/>
          <w:iCs/>
        </w:rPr>
        <w:t>Die folgenden Grundsätze sind lediglich dann aufzuführen, falls sie für die jeweilige zusammengefasste EEG-Endabrechnung einschlägig sind</w:t>
      </w:r>
      <w:r>
        <w:t>:</w:t>
      </w:r>
    </w:p>
    <w:p w14:paraId="456A5AFA" w14:textId="77777777" w:rsidR="00026C3F" w:rsidRDefault="00026C3F" w:rsidP="000329B2">
      <w:pPr>
        <w:pStyle w:val="idwlistfree1"/>
        <w:keepNext/>
        <w:divId w:val="1932812704"/>
      </w:pPr>
      <w:r>
        <w:t>●</w:t>
      </w:r>
      <w:r>
        <w:tab/>
      </w:r>
      <w:r>
        <w:rPr>
          <w:b/>
          <w:bCs/>
        </w:rPr>
        <w:t>Behandlung von Kundenanlagen vor dem Hintergrund der Übergangsvorschrift des § 118 Abs. 7 EnWG</w:t>
      </w:r>
    </w:p>
    <w:p w14:paraId="1C3111B9" w14:textId="77777777" w:rsidR="00026C3F" w:rsidRDefault="00026C3F" w:rsidP="00026C3F">
      <w:pPr>
        <w:pStyle w:val="idwlistempty1"/>
        <w:ind w:left="567"/>
        <w:divId w:val="1932812704"/>
      </w:pPr>
      <w:r>
        <w:t>Nach § 118 Abs. 7 EnWG sind Vorgaben in Bezug auf die Regulierung von Energieversorgungsnetzen i.S. des § 3 Nr. 37 EnWG auf Energieanlagen nach § 3 Nr. 65 und 66 EnWG, die bis zum 23.12.2025 an ein Energieversorgungsnetz angeschlossen wurden, erst ab dem 01.01.2029 anzuwenden. Nach der Begründung zur Beschlussempfehlung und zum Bericht des Ausschusses für Wirtschaft und Energie vom 12.11.2025 (vgl. BT-</w:t>
      </w:r>
      <w:proofErr w:type="spellStart"/>
      <w:r>
        <w:t>Drs</w:t>
      </w:r>
      <w:proofErr w:type="spellEnd"/>
      <w:r>
        <w:t>. 21/2793, S. 188) soll die vorgenannte Übergangsregelung gewährleisten, dass die auf den Begriff des Netzbetreibers abstellenden Regelungen (z.B. im Energiefinanzierungsgesetz) ebenfalls bis zum Ablauf der Übergangsfrist auf Kundenanlagen keine Anwendung finden. Vor diesem Hintergrund haben wir mögliche betroffene Energieanlagen in der vorliegenden zusammengefassten EEG-Endabrechnung entsprechend der bisherigen Praxis behandelt.</w:t>
      </w:r>
    </w:p>
    <w:p w14:paraId="2181A513" w14:textId="77777777" w:rsidR="00026C3F" w:rsidRDefault="00026C3F" w:rsidP="00026C3F">
      <w:pPr>
        <w:pStyle w:val="idwlistfree1"/>
        <w:divId w:val="1932812704"/>
      </w:pPr>
      <w:r>
        <w:t>●</w:t>
      </w:r>
      <w:r>
        <w:tab/>
        <w:t>[</w:t>
      </w:r>
      <w:r>
        <w:rPr>
          <w:i/>
          <w:iCs/>
        </w:rPr>
        <w:t>sofern der Hinweis 2023/11-IV der Clearingstelle EEG|KWKG nicht angewendet wurde</w:t>
      </w:r>
      <w:r>
        <w:t xml:space="preserve">: </w:t>
      </w:r>
      <w:r>
        <w:rPr>
          <w:b/>
          <w:bCs/>
        </w:rPr>
        <w:t>Flexibilitätsprämie nach § 50b EEG 2023 bei Biogasanlagen ohne Erzeugungsmessung</w:t>
      </w:r>
    </w:p>
    <w:p w14:paraId="05A68C98" w14:textId="77777777" w:rsidR="00026C3F" w:rsidRDefault="00026C3F" w:rsidP="00026C3F">
      <w:pPr>
        <w:pStyle w:val="idwlistempty1"/>
        <w:ind w:left="567"/>
        <w:divId w:val="1932812704"/>
      </w:pPr>
      <w:r>
        <w:t>Sofern an Anlagen zur Erzeugung von Strom aus Biogas bei Inanspruchnahme der Flexibilitätsprämie nach § 50b EEG 2023 keine Erzeugungsmessung verbaut ist, ziehen wir als Grundlage für die Berechnung der Flexibilitätsprämie die eingespeiste Menge heran. Das in dem Hinweis 2023/11-IV der Clearingstelle EEG|KWKG vorgesehene Verfahren wenden wir nicht an.]</w:t>
      </w:r>
    </w:p>
    <w:p w14:paraId="616C49A8" w14:textId="77777777" w:rsidR="00026C3F" w:rsidRDefault="00026C3F" w:rsidP="00026C3F">
      <w:pPr>
        <w:pStyle w:val="idwlistfree1"/>
        <w:divId w:val="1932812704"/>
      </w:pPr>
      <w:r>
        <w:t>●</w:t>
      </w:r>
      <w:r>
        <w:tab/>
      </w:r>
      <w:r>
        <w:rPr>
          <w:b/>
          <w:bCs/>
        </w:rPr>
        <w:t>Beginn der Strafzahlung bei Pflichtverstößen nach § 52 Abs. 1 Nr. 1 EEG 2023</w:t>
      </w:r>
    </w:p>
    <w:p w14:paraId="125292D7" w14:textId="77777777" w:rsidR="00026C3F" w:rsidRDefault="00026C3F" w:rsidP="00026C3F">
      <w:pPr>
        <w:pStyle w:val="idwlistempty1"/>
        <w:ind w:left="567"/>
        <w:divId w:val="1932812704"/>
      </w:pPr>
      <w:r>
        <w:t xml:space="preserve">Die Antwort der Bundesnetzagentur (BNetzA) zu der Frage, ob Sanktionszahlungen bereits für Monate anfallen können, in denen die Erneuerbare-Energien-Anlage noch nicht an das Netz angeschlossen </w:t>
      </w:r>
      <w:proofErr w:type="gramStart"/>
      <w:r>
        <w:t>war</w:t>
      </w:r>
      <w:proofErr w:type="gramEnd"/>
      <w:r>
        <w:rPr>
          <w:rStyle w:val="Funotenzeichen"/>
        </w:rPr>
        <w:footnoteReference w:id="6"/>
      </w:r>
      <w:r>
        <w:t>, setzen wir dergestalt um, dass Strafzahlungen bei Pflichtverstößen ab dem Zeitpunkt erhoben werden, ab dem uns bekannte Einspeisungen durch eine geeignete Messeinrichtung erfasst werden.</w:t>
      </w:r>
    </w:p>
    <w:p w14:paraId="04D80FA9" w14:textId="77777777" w:rsidR="00026C3F" w:rsidRDefault="00026C3F" w:rsidP="00026C3F">
      <w:pPr>
        <w:pStyle w:val="idwlistfree1"/>
        <w:divId w:val="1932812704"/>
      </w:pPr>
      <w:r>
        <w:t>●</w:t>
      </w:r>
      <w:r>
        <w:tab/>
      </w:r>
      <w:r>
        <w:rPr>
          <w:b/>
          <w:bCs/>
        </w:rPr>
        <w:t xml:space="preserve">Nachweisführung und Korrekturen bei Biomasseanlagen (RED II / </w:t>
      </w:r>
      <w:proofErr w:type="spellStart"/>
      <w:r>
        <w:rPr>
          <w:b/>
          <w:bCs/>
        </w:rPr>
        <w:t>BioSt-NachV</w:t>
      </w:r>
      <w:proofErr w:type="spellEnd"/>
      <w:r>
        <w:rPr>
          <w:b/>
          <w:bCs/>
        </w:rPr>
        <w:t>)</w:t>
      </w:r>
    </w:p>
    <w:p w14:paraId="6FDD79CB" w14:textId="77777777" w:rsidR="00026C3F" w:rsidRDefault="00026C3F" w:rsidP="00026C3F">
      <w:pPr>
        <w:pStyle w:val="idwlistempty1"/>
        <w:ind w:left="567"/>
        <w:divId w:val="1932812704"/>
      </w:pPr>
      <w:r>
        <w:t>Aufgrund der systemimmanenten nachträglichen Zertifizierung der Einsatzstoffe von Biomasseanlagen nach der Richtlinie 2018/2001 (</w:t>
      </w:r>
      <w:proofErr w:type="spellStart"/>
      <w:r>
        <w:t>Renewable</w:t>
      </w:r>
      <w:proofErr w:type="spellEnd"/>
      <w:r>
        <w:t xml:space="preserve"> Energy </w:t>
      </w:r>
      <w:proofErr w:type="spellStart"/>
      <w:r>
        <w:t>Directive</w:t>
      </w:r>
      <w:proofErr w:type="spellEnd"/>
      <w:r>
        <w:t> II / RED II), umgesetzt in der Biomassestrom-Nachhaltigkeitsverordnung (</w:t>
      </w:r>
      <w:proofErr w:type="spellStart"/>
      <w:r>
        <w:t>BioSt-NachV</w:t>
      </w:r>
      <w:proofErr w:type="spellEnd"/>
      <w:r>
        <w:t>), verwenden wir in der zusammengefassten EEG-Endabrechnung die vorliegenden Nachhaltigkeitsnachweise. Wird im Zuge der Re-Zertifizierung der betroffenen Anlage nach Ablauf der Gültigkeitsdauer von einem Jahr die Erfüllung der Anforderungen an die Nachhaltigkeitskriterien der RED II nicht durch einen Zertifizierer bestätigt, werden wir die erforderlichen Änderungen als nachträgliche Korrektur in der zusammengefassten EEG-Endabrechnung des Folgejahres erfassen.</w:t>
      </w:r>
    </w:p>
    <w:p w14:paraId="1E9651D1" w14:textId="77777777" w:rsidR="00026C3F" w:rsidRDefault="00026C3F" w:rsidP="00026C3F">
      <w:pPr>
        <w:pStyle w:val="idwlistfree1"/>
        <w:divId w:val="1932812704"/>
      </w:pPr>
      <w:r>
        <w:lastRenderedPageBreak/>
        <w:t>●</w:t>
      </w:r>
      <w:r>
        <w:tab/>
      </w:r>
      <w:r>
        <w:rPr>
          <w:b/>
          <w:bCs/>
        </w:rPr>
        <w:t>Überschreitung der Höchstdauer Ausfallvermarktung (DV-pflichtige Bestandsanlagen)</w:t>
      </w:r>
    </w:p>
    <w:p w14:paraId="07CD7627" w14:textId="77777777" w:rsidR="00026C3F" w:rsidRDefault="00026C3F" w:rsidP="00026C3F">
      <w:pPr>
        <w:pStyle w:val="idwlistempty1"/>
        <w:ind w:left="567"/>
        <w:divId w:val="1932812704"/>
      </w:pPr>
      <w:r>
        <w:t xml:space="preserve">Im Hinblick auf die Verringerung der Ausfallvergütung bei Überschreitung der Höchstdauer der Ausfallvermarktung bei DV-pflichtigen Bestandsanlagen (Inbetriebnahme vor dem 01.01.2023) haben wir eine Verringerung des anzulegenden Wertes auf den monatlichen Marktwert vorgenommen (vgl. die für die Endabrechnung gültige EEG-Vergütungskategorientabelle, Arbeitsblatt „EEG-Vergütungen und </w:t>
      </w:r>
      <w:proofErr w:type="spellStart"/>
      <w:r>
        <w:t>vNNE</w:t>
      </w:r>
      <w:proofErr w:type="spellEnd"/>
      <w:r>
        <w:t>“, Zeile mit dem Hinweis zu „§ 52 Abs. 2 Satz 1 Nr. 3 EEG 2017/2021 und § 21 Abs. 1 Nr. 2 EEG 2023“, auf der gemeinsamen Internetplattform „www.netztranzparenz.de“, unter der Rubrik „Erneuerbare Energien und Umlagen/Abwicklungshinweise und Umsetzungshilfen/EEG“).]</w:t>
      </w:r>
    </w:p>
    <w:p w14:paraId="703A649F" w14:textId="77777777" w:rsidR="00026C3F" w:rsidRDefault="00026C3F" w:rsidP="00026C3F">
      <w:pPr>
        <w:pStyle w:val="idwlistfree1"/>
        <w:divId w:val="1932812704"/>
      </w:pPr>
      <w:r>
        <w:t>●</w:t>
      </w:r>
      <w:r>
        <w:tab/>
        <w:t>… [</w:t>
      </w:r>
      <w:r>
        <w:rPr>
          <w:i/>
          <w:iCs/>
        </w:rPr>
        <w:t>ggf. weitere Ausführungen</w:t>
      </w:r>
      <w:r>
        <w:t>]]</w:t>
      </w:r>
    </w:p>
    <w:p w14:paraId="39B44528" w14:textId="43E6689C" w:rsidR="00026C3F" w:rsidRDefault="00D642AC" w:rsidP="00026C3F">
      <w:pPr>
        <w:spacing w:before="100" w:beforeAutospacing="1" w:after="100" w:afterAutospacing="1"/>
        <w:divId w:val="1932812704"/>
      </w:pPr>
      <w:r>
        <w:t>[</w:t>
      </w:r>
      <w:r w:rsidR="00026C3F">
        <w:t>…]</w:t>
      </w:r>
    </w:p>
    <w:p w14:paraId="53CDDB22" w14:textId="1066D764" w:rsidR="00026C3F" w:rsidRDefault="00D642AC" w:rsidP="00D642AC">
      <w:pPr>
        <w:pStyle w:val="berschrift1"/>
        <w:pageBreakBefore/>
        <w:ind w:left="1134" w:hanging="1134"/>
        <w:divId w:val="1932812704"/>
      </w:pPr>
      <w:bookmarkStart w:id="5" w:name="_Toc220070401"/>
      <w:bookmarkStart w:id="6" w:name="_Toc220073793"/>
      <w:r>
        <w:lastRenderedPageBreak/>
        <w:t>Anlage 3:</w:t>
      </w:r>
      <w:r>
        <w:tab/>
      </w:r>
      <w:r w:rsidR="00026C3F">
        <w:t xml:space="preserve">Übersicht über die EEG-Umlagekategorien der Jahre 2014 bis 2022 bei </w:t>
      </w:r>
      <w:r w:rsidR="00026C3F" w:rsidRPr="00322360">
        <w:t>nachträglichen</w:t>
      </w:r>
      <w:r w:rsidR="00026C3F">
        <w:t xml:space="preserve"> Korrekturen</w:t>
      </w:r>
      <w:bookmarkEnd w:id="5"/>
      <w:bookmarkEnd w:id="6"/>
    </w:p>
    <w:p w14:paraId="1B5C8BC2" w14:textId="77777777" w:rsidR="00026C3F" w:rsidRDefault="00026C3F" w:rsidP="00026C3F">
      <w:pPr>
        <w:spacing w:before="100" w:beforeAutospacing="1" w:after="100" w:afterAutospacing="1"/>
        <w:divId w:val="1932812704"/>
        <w:rPr>
          <w:rFonts w:eastAsiaTheme="minorEastAsia"/>
        </w:rPr>
      </w:pPr>
      <w:r>
        <w:t>Sofern mit der zusammengefassten EEG-Endabrechnung eines Verteilernetzbetreibers (vgl. Anlage 1) nachträgliche Korrekturen im Hinblick auf Eigenversorgungssachverhalte für Vorjahre mitgeteilt werden, ist für in der relevanten Tabelle die jeweilige EEG-Umlagekategorie für das betreffende Jahr anzugeben. Als Hilfestellung finden sich in der folgenden Übersicht die möglichen EEG-Umlagekategorien der Jahre 2014 bis 2022:</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54"/>
      </w:tblGrid>
      <w:tr w:rsidR="00026C3F" w14:paraId="322E7BEE" w14:textId="77777777" w:rsidTr="00026C3F">
        <w:trPr>
          <w:divId w:val="1932812704"/>
          <w:tblHeader/>
        </w:trPr>
        <w:tc>
          <w:tcPr>
            <w:tcW w:w="9054" w:type="dxa"/>
            <w:tcBorders>
              <w:top w:val="outset" w:sz="6" w:space="0" w:color="auto"/>
              <w:left w:val="outset" w:sz="6" w:space="0" w:color="auto"/>
              <w:bottom w:val="outset" w:sz="6" w:space="0" w:color="auto"/>
              <w:right w:val="outset" w:sz="6" w:space="0" w:color="auto"/>
            </w:tcBorders>
            <w:hideMark/>
          </w:tcPr>
          <w:p w14:paraId="486A543D" w14:textId="77777777" w:rsidR="00026C3F" w:rsidRDefault="00026C3F" w:rsidP="00A62E6F">
            <w:pPr>
              <w:pStyle w:val="idwtababs"/>
            </w:pPr>
            <w:r>
              <w:rPr>
                <w:b/>
                <w:bCs w:val="0"/>
              </w:rPr>
              <w:t>Umlagekategorien des Jahres 2022</w:t>
            </w:r>
          </w:p>
        </w:tc>
      </w:tr>
      <w:tr w:rsidR="00026C3F" w14:paraId="75B64BCE"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3C553626" w14:textId="77777777" w:rsidR="00026C3F" w:rsidRDefault="00026C3F" w:rsidP="00A62E6F">
            <w:pPr>
              <w:pStyle w:val="idwtablistfree1"/>
            </w:pPr>
            <w:r>
              <w:t>●</w:t>
            </w:r>
            <w:r>
              <w:tab/>
              <w:t>40 % der EEG-Umlage:</w:t>
            </w:r>
          </w:p>
          <w:p w14:paraId="2C0B1DBB" w14:textId="77777777" w:rsidR="00026C3F" w:rsidRDefault="00026C3F" w:rsidP="00A62E6F">
            <w:pPr>
              <w:pStyle w:val="idwtababs"/>
            </w:pPr>
            <w:r>
              <w:t>EEG-Umlage nach § 61b bis § 61d Erneuerbare-Energien-Gesetz in der am 31.12.2022 geltenden Fassung</w:t>
            </w:r>
          </w:p>
          <w:p w14:paraId="4180652D" w14:textId="77777777" w:rsidR="00026C3F" w:rsidRDefault="00026C3F" w:rsidP="00A62E6F">
            <w:pPr>
              <w:pStyle w:val="idwtababs"/>
            </w:pPr>
            <w:r>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auf die ersten 3.500 Vollbenutzungsstunden zur Eigenversorgung entfallen.)</w:t>
            </w:r>
          </w:p>
        </w:tc>
      </w:tr>
      <w:tr w:rsidR="00026C3F" w14:paraId="25DF1AA3"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6D872395" w14:textId="77777777" w:rsidR="00026C3F" w:rsidRDefault="00026C3F" w:rsidP="00A62E6F">
            <w:pPr>
              <w:pStyle w:val="idwtablistfree1"/>
            </w:pPr>
            <w:r>
              <w:t>●</w:t>
            </w:r>
            <w:r>
              <w:tab/>
              <w:t>160 % der EEG-Umlage:</w:t>
            </w:r>
          </w:p>
          <w:p w14:paraId="746CEDCE" w14:textId="77777777" w:rsidR="00026C3F" w:rsidRDefault="00026C3F" w:rsidP="00A62E6F">
            <w:pPr>
              <w:pStyle w:val="idwtababs"/>
            </w:pPr>
            <w:r>
              <w:t>EEG-Umlage in Folge von § 61c Abs. 2 Erneuerbare-Energien-Gesetz in der am 31.12.2022 geltenden Fassung</w:t>
            </w:r>
          </w:p>
          <w:p w14:paraId="11EC0095" w14:textId="77777777" w:rsidR="00026C3F" w:rsidRDefault="00026C3F" w:rsidP="00A62E6F">
            <w:pPr>
              <w:pStyle w:val="idwtababs"/>
            </w:pPr>
            <w:r>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sich auf den Anteil der Vollbenutzungsstunden zur Eigenversorgung über 3.500 h und bis einschließlich 7.000 h beziehen.)</w:t>
            </w:r>
          </w:p>
        </w:tc>
      </w:tr>
      <w:tr w:rsidR="00026C3F" w14:paraId="23F170D7"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7B0DB621" w14:textId="77777777" w:rsidR="00026C3F" w:rsidRDefault="00026C3F" w:rsidP="00A62E6F">
            <w:pPr>
              <w:pStyle w:val="idwtablistfree1"/>
            </w:pPr>
            <w:r>
              <w:t>●</w:t>
            </w:r>
            <w:r>
              <w:tab/>
              <w:t>20 % der EEG-Umlage:</w:t>
            </w:r>
          </w:p>
          <w:p w14:paraId="581104CD" w14:textId="77777777" w:rsidR="00026C3F" w:rsidRDefault="00026C3F" w:rsidP="00A62E6F">
            <w:pPr>
              <w:pStyle w:val="idwtababs"/>
            </w:pPr>
            <w:r>
              <w:t>EEG-Umlage nach § 61g Abs. 1 und 2 Erneuerbare-Energien-Gesetz in der am 31.12.2022 geltenden Fassung</w:t>
            </w:r>
          </w:p>
          <w:p w14:paraId="1FF20D35" w14:textId="77777777" w:rsidR="00026C3F" w:rsidRDefault="00026C3F" w:rsidP="00A62E6F">
            <w:pPr>
              <w:pStyle w:val="idwtababs"/>
            </w:pPr>
            <w:r>
              <w:t>(Erneuerung und Ersetzung von Bestandsanlagen)</w:t>
            </w:r>
          </w:p>
        </w:tc>
      </w:tr>
      <w:tr w:rsidR="00026C3F" w14:paraId="4C2EA3F6"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00829FA2" w14:textId="77777777" w:rsidR="00026C3F" w:rsidRDefault="00026C3F" w:rsidP="00A62E6F">
            <w:pPr>
              <w:pStyle w:val="idwtablistfree1"/>
            </w:pPr>
            <w:r>
              <w:t>●</w:t>
            </w:r>
            <w:r>
              <w:tab/>
              <w:t>100 % der EEG-Umlage:</w:t>
            </w:r>
          </w:p>
          <w:p w14:paraId="2E32ADD2" w14:textId="77777777" w:rsidR="00026C3F" w:rsidRDefault="00026C3F" w:rsidP="00A62E6F">
            <w:pPr>
              <w:pStyle w:val="idwtababs"/>
            </w:pPr>
            <w:r>
              <w:t xml:space="preserve">EEG-Umlage nach § 61 Abs. 1 Erneuerbare-Energien-Gesetz in der am 31.12.2022 geltenden Fassung für Strom, für den kein Anspruch auf Entfall oder Verringerung der EEG-Umlage nach § 61a bis § 61g Erneuerbare-Energien-Gesetz in der am 31.12.2022 geltenden Fassung besteht </w:t>
            </w:r>
          </w:p>
          <w:p w14:paraId="69430BF5" w14:textId="77777777" w:rsidR="00026C3F" w:rsidRDefault="00026C3F" w:rsidP="00A62E6F">
            <w:pPr>
              <w:pStyle w:val="idwtababs"/>
            </w:pPr>
            <w:r>
              <w:t xml:space="preserve">(Bei hocheffizienten KWK-Anlagen mit einer Auslastung von mehr als 7.000 Vollbenutzungsstunden zur Eigenversorgung </w:t>
            </w:r>
            <w:proofErr w:type="gramStart"/>
            <w:r>
              <w:t>sind</w:t>
            </w:r>
            <w:proofErr w:type="gramEnd"/>
            <w:r>
              <w:t xml:space="preserve"> nur die anteiligen Strommengen und erhaltenen Zahlungen anzugeben, die sich auf den Anteil der Vollbenutzungsstunden zur Eigenversorgung oberhalb von 7.000 h beziehen. Ferner sind bei hocheffizienten KWK-Anlagen mit einer Auslastung von mehr als 3.500 Vollbenutzungsstunden zur Eigenversorgung nur die anteiligen Strommengen anzugeben, die sich auf den Anteil der Vollbenutzungsstunden zur Eigenversorgung oberhalb von 3.500 h beziehen.)</w:t>
            </w:r>
          </w:p>
        </w:tc>
      </w:tr>
      <w:tr w:rsidR="00026C3F" w14:paraId="60E5B451"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3454F061" w14:textId="77777777" w:rsidR="00026C3F" w:rsidRDefault="00026C3F" w:rsidP="00A62E6F">
            <w:pPr>
              <w:pStyle w:val="idwtablistfree1"/>
            </w:pPr>
            <w:r>
              <w:t>●</w:t>
            </w:r>
            <w:r>
              <w:tab/>
              <w:t>100 % der EEG-Umlage:</w:t>
            </w:r>
          </w:p>
          <w:p w14:paraId="3996952D" w14:textId="77777777" w:rsidR="00026C3F" w:rsidRDefault="00026C3F" w:rsidP="00A62E6F">
            <w:pPr>
              <w:pStyle w:val="idwtababs"/>
            </w:pPr>
            <w:r>
              <w:t>EEG-Umlage nach § 61i Abs. 1 Erneuerbare-Energien-Gesetz in der am 31.12.2022 geltenden Fassung</w:t>
            </w:r>
          </w:p>
        </w:tc>
      </w:tr>
      <w:tr w:rsidR="00026C3F" w14:paraId="1EDA80AC"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67436083" w14:textId="77777777" w:rsidR="00026C3F" w:rsidRDefault="00026C3F" w:rsidP="00A62E6F">
            <w:pPr>
              <w:pStyle w:val="idwtablistfree1"/>
            </w:pPr>
            <w:r>
              <w:lastRenderedPageBreak/>
              <w:t>●</w:t>
            </w:r>
            <w:r>
              <w:tab/>
              <w:t>Erhöhung der EEG-Umlage um 20 Prozentpunkte aufgrund Sanktionierung nach § 61i Abs. 2 Erneuerbare-Energien-Gesetz in der am 31.12.2022 geltenden Fassung</w:t>
            </w:r>
          </w:p>
        </w:tc>
      </w:tr>
      <w:tr w:rsidR="00026C3F" w14:paraId="72B0A985"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3F86FC5C" w14:textId="77777777" w:rsidR="00026C3F" w:rsidRDefault="00026C3F" w:rsidP="00A62E6F">
            <w:pPr>
              <w:pStyle w:val="idwtablistfree1"/>
            </w:pPr>
            <w:r>
              <w:t>●</w:t>
            </w:r>
            <w:r>
              <w:tab/>
              <w:t>Verringerung der EEG-Umlage aufgrund von § 61l Abs. 1 Erneuerbare-Energien-Gesetz in der am 31.12.2022 geltenden Fassung</w:t>
            </w:r>
          </w:p>
          <w:p w14:paraId="388C1FE7" w14:textId="77777777" w:rsidR="00026C3F" w:rsidRDefault="00026C3F" w:rsidP="00A62E6F">
            <w:pPr>
              <w:pStyle w:val="idwtababs"/>
            </w:pPr>
            <w:r>
              <w:t>(von einem elektrischen, chemischen, mechanischen oder physikalischen Stromspeicher bei der Beladung verbrauchter Strom)</w:t>
            </w:r>
          </w:p>
        </w:tc>
      </w:tr>
      <w:tr w:rsidR="00026C3F" w14:paraId="34DE62D4"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7E6453E4" w14:textId="77777777" w:rsidR="00026C3F" w:rsidRDefault="00026C3F" w:rsidP="00A62E6F">
            <w:pPr>
              <w:pStyle w:val="idwtablistfree1"/>
            </w:pPr>
            <w:r>
              <w:t>●</w:t>
            </w:r>
            <w:r>
              <w:tab/>
              <w:t>Verringerung der EEG-Umlage aufgrund von § 61l Abs. 2 Erneuerbare-Energien-Gesetz in der am 31.12.2022 geltenden Fassung</w:t>
            </w:r>
          </w:p>
          <w:p w14:paraId="69F34657" w14:textId="77777777" w:rsidR="00026C3F" w:rsidRDefault="00026C3F" w:rsidP="00A62E6F">
            <w:pPr>
              <w:pStyle w:val="idwtababs"/>
            </w:pPr>
            <w:r>
              <w:t>(zur Erzeugung von Speichergas verbrauchter Strom)</w:t>
            </w:r>
          </w:p>
        </w:tc>
      </w:tr>
    </w:tbl>
    <w:p w14:paraId="52823615" w14:textId="77777777" w:rsidR="00026C3F" w:rsidRDefault="00026C3F" w:rsidP="00026C3F">
      <w:pPr>
        <w:divId w:val="1932812704"/>
        <w:rPr>
          <w:vanish/>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54"/>
      </w:tblGrid>
      <w:tr w:rsidR="00026C3F" w14:paraId="044491DF" w14:textId="77777777" w:rsidTr="00026C3F">
        <w:trPr>
          <w:divId w:val="1932812704"/>
          <w:tblHeader/>
        </w:trPr>
        <w:tc>
          <w:tcPr>
            <w:tcW w:w="9054" w:type="dxa"/>
            <w:tcBorders>
              <w:top w:val="outset" w:sz="6" w:space="0" w:color="auto"/>
              <w:left w:val="outset" w:sz="6" w:space="0" w:color="auto"/>
              <w:bottom w:val="outset" w:sz="6" w:space="0" w:color="auto"/>
              <w:right w:val="outset" w:sz="6" w:space="0" w:color="auto"/>
            </w:tcBorders>
            <w:hideMark/>
          </w:tcPr>
          <w:p w14:paraId="6861A003" w14:textId="77777777" w:rsidR="00026C3F" w:rsidRDefault="00026C3F" w:rsidP="00A62E6F">
            <w:pPr>
              <w:pStyle w:val="idwtababs"/>
              <w:rPr>
                <w:rFonts w:eastAsiaTheme="minorEastAsia"/>
              </w:rPr>
            </w:pPr>
            <w:r>
              <w:rPr>
                <w:b/>
                <w:bCs w:val="0"/>
              </w:rPr>
              <w:t>Umlagekategorien des Jahres 2021</w:t>
            </w:r>
          </w:p>
        </w:tc>
      </w:tr>
      <w:tr w:rsidR="00026C3F" w14:paraId="4C83BFFE"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559CD860" w14:textId="77777777" w:rsidR="00026C3F" w:rsidRDefault="00026C3F" w:rsidP="00A62E6F">
            <w:pPr>
              <w:pStyle w:val="idwtablistfree1"/>
            </w:pPr>
            <w:r>
              <w:t>●</w:t>
            </w:r>
            <w:r>
              <w:tab/>
              <w:t>40 % der EEG-Umlage:</w:t>
            </w:r>
          </w:p>
          <w:p w14:paraId="7D25B5D6" w14:textId="77777777" w:rsidR="00026C3F" w:rsidRDefault="00026C3F" w:rsidP="00A62E6F">
            <w:pPr>
              <w:pStyle w:val="idwtababs"/>
            </w:pPr>
            <w:r>
              <w:t>EEG-Umlage nach § 61b bis § 61d Erneuerbare-Energien-Gesetz in der am 31.12.2021 geltenden Fassung</w:t>
            </w:r>
          </w:p>
          <w:p w14:paraId="2ABDC037" w14:textId="77777777" w:rsidR="00026C3F" w:rsidRDefault="00026C3F" w:rsidP="00A62E6F">
            <w:pPr>
              <w:pStyle w:val="idwtababs"/>
            </w:pPr>
            <w:r>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auf die ersten 3.500 Vollbenutzungsstunden zur Eigenversorgung entfallen.)</w:t>
            </w:r>
          </w:p>
        </w:tc>
      </w:tr>
      <w:tr w:rsidR="00026C3F" w14:paraId="7B4457AB"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75694E15" w14:textId="77777777" w:rsidR="00026C3F" w:rsidRDefault="00026C3F" w:rsidP="00A62E6F">
            <w:pPr>
              <w:pStyle w:val="idwtablistfree1"/>
            </w:pPr>
            <w:r>
              <w:t>●</w:t>
            </w:r>
            <w:r>
              <w:tab/>
              <w:t>160 % der EEG-Umlage:</w:t>
            </w:r>
          </w:p>
          <w:p w14:paraId="63E58186" w14:textId="77777777" w:rsidR="00026C3F" w:rsidRDefault="00026C3F" w:rsidP="00A62E6F">
            <w:pPr>
              <w:pStyle w:val="idwtababs"/>
            </w:pPr>
            <w:r>
              <w:t>EEG-Umlage in Folge von § 61c Abs. 2 Erneuerbare-Energien-Gesetz in der am 31.12.2021 geltenden Fassung</w:t>
            </w:r>
          </w:p>
          <w:p w14:paraId="76A6E24B" w14:textId="77777777" w:rsidR="00026C3F" w:rsidRDefault="00026C3F" w:rsidP="00A62E6F">
            <w:pPr>
              <w:pStyle w:val="idwtababs"/>
            </w:pPr>
            <w:r>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sich auf den Anteil der Vollbenutzungsstunden zur Eigenversorgung über 3.500 h und bis einschließlich 7.000 h beziehen.)</w:t>
            </w:r>
          </w:p>
        </w:tc>
      </w:tr>
      <w:tr w:rsidR="00026C3F" w14:paraId="3AF088FD"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07E44837" w14:textId="77777777" w:rsidR="00026C3F" w:rsidRDefault="00026C3F" w:rsidP="00A62E6F">
            <w:pPr>
              <w:pStyle w:val="idwtablistfree1"/>
            </w:pPr>
            <w:r>
              <w:t>●</w:t>
            </w:r>
            <w:r>
              <w:tab/>
              <w:t>20 % der EEG-Umlage:</w:t>
            </w:r>
          </w:p>
          <w:p w14:paraId="5BB31AA7" w14:textId="77777777" w:rsidR="00026C3F" w:rsidRDefault="00026C3F" w:rsidP="00A62E6F">
            <w:pPr>
              <w:pStyle w:val="idwtababs"/>
            </w:pPr>
            <w:r>
              <w:t>EEG-Umlage nach § 61g Abs. 1 und 2 Erneuerbare-Energien-Gesetz in der am 31.12.2021 geltenden Fassung</w:t>
            </w:r>
          </w:p>
          <w:p w14:paraId="01126D1C" w14:textId="77777777" w:rsidR="00026C3F" w:rsidRDefault="00026C3F" w:rsidP="00A62E6F">
            <w:pPr>
              <w:pStyle w:val="idwtababs"/>
            </w:pPr>
            <w:r>
              <w:t>(Erneuerung und Ersetzung von Bestandsanlagen)</w:t>
            </w:r>
          </w:p>
        </w:tc>
      </w:tr>
      <w:tr w:rsidR="00026C3F" w14:paraId="3429E06A"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38C42622" w14:textId="77777777" w:rsidR="00026C3F" w:rsidRDefault="00026C3F" w:rsidP="00A62E6F">
            <w:pPr>
              <w:pStyle w:val="idwtablistfree1"/>
            </w:pPr>
            <w:r>
              <w:t>●</w:t>
            </w:r>
            <w:r>
              <w:tab/>
              <w:t>100 % der EEG-Umlage:</w:t>
            </w:r>
          </w:p>
          <w:p w14:paraId="57F7AB96" w14:textId="77777777" w:rsidR="00026C3F" w:rsidRDefault="00026C3F" w:rsidP="00A62E6F">
            <w:pPr>
              <w:pStyle w:val="idwtababs"/>
            </w:pPr>
            <w:r>
              <w:t xml:space="preserve">EEG-Umlage nach § 61 Abs. 1 Erneuerbare-Energien-Gesetz in der am 31.12.2021 geltenden Fassung für Strom, für den kein Anspruch auf Entfall oder Verringerung der EEG-Umlage nach § 61a bis § 61g Erneuerbare-Energien-Gesetz in der am 31.12.2021 geltenden Fassung besteht </w:t>
            </w:r>
          </w:p>
          <w:p w14:paraId="537E6D09" w14:textId="77777777" w:rsidR="00026C3F" w:rsidRDefault="00026C3F" w:rsidP="00A62E6F">
            <w:pPr>
              <w:pStyle w:val="idwtababs"/>
            </w:pPr>
            <w:r>
              <w:t xml:space="preserve">(Bei hocheffizienten KWK-Anlagen mit einer Auslastung von mehr als 7.000 Vollbenutzungsstunden zur Eigenversorgung </w:t>
            </w:r>
            <w:proofErr w:type="gramStart"/>
            <w:r>
              <w:t>sind</w:t>
            </w:r>
            <w:proofErr w:type="gramEnd"/>
            <w:r>
              <w:t xml:space="preserve"> nur die anteiligen Strommengen und erhaltenen Zahlungen anzugeben, die sich auf den Anteil der Vollbenutzungsstunden zur Eigenversorgung oberhalb von 7.000 h </w:t>
            </w:r>
            <w:r>
              <w:lastRenderedPageBreak/>
              <w:t>beziehen. Ferner sind bei hocheffizienten KWK-Anlagen mit einer Auslastung von mehr als 3.500 Vollbenutzungsstunden zur Eigenversorgung nur die anteiligen Strommengen anzugeben, die sich auf den Anteil der Vollbenutzungsstunden zur Eigenversorgung oberhalb von 3.500 h beziehen.)</w:t>
            </w:r>
          </w:p>
        </w:tc>
      </w:tr>
      <w:tr w:rsidR="00026C3F" w14:paraId="0B50FF1A"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45931CCC" w14:textId="77777777" w:rsidR="00026C3F" w:rsidRDefault="00026C3F" w:rsidP="00A62E6F">
            <w:pPr>
              <w:pStyle w:val="idwtablistfree1"/>
            </w:pPr>
            <w:r>
              <w:lastRenderedPageBreak/>
              <w:t>●</w:t>
            </w:r>
            <w:r>
              <w:tab/>
              <w:t>100 % der EEG-Umlage:</w:t>
            </w:r>
          </w:p>
          <w:p w14:paraId="37C4933B" w14:textId="77777777" w:rsidR="00026C3F" w:rsidRDefault="00026C3F" w:rsidP="00A62E6F">
            <w:pPr>
              <w:pStyle w:val="idwtababs"/>
            </w:pPr>
            <w:r>
              <w:t>EEG-Umlage nach § 61i Abs. 1 Erneuerbare-Energien-Gesetz in der am 31.12.2022 geltenden Fassung</w:t>
            </w:r>
          </w:p>
        </w:tc>
      </w:tr>
      <w:tr w:rsidR="00026C3F" w14:paraId="553B4E92"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3D57328E" w14:textId="77777777" w:rsidR="00026C3F" w:rsidRDefault="00026C3F" w:rsidP="00A62E6F">
            <w:pPr>
              <w:pStyle w:val="idwtablistfree1"/>
            </w:pPr>
            <w:r>
              <w:t>●</w:t>
            </w:r>
            <w:r>
              <w:tab/>
              <w:t>Erhöhung der EEG-Umlage um 20 Prozentpunkte aufgrund Sanktionierung nach § 61i Abs. 2 Erneuerbare-Energien-Gesetz in der am 31.12.2022 geltenden Fassung</w:t>
            </w:r>
          </w:p>
        </w:tc>
      </w:tr>
      <w:tr w:rsidR="00026C3F" w14:paraId="249F053F"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5F4220D6" w14:textId="77777777" w:rsidR="00026C3F" w:rsidRDefault="00026C3F" w:rsidP="00A62E6F">
            <w:pPr>
              <w:pStyle w:val="idwtablistfree1"/>
            </w:pPr>
            <w:r>
              <w:t>●</w:t>
            </w:r>
            <w:r>
              <w:tab/>
              <w:t>Verringerung der EEG-Umlage aufgrund von § 61l Abs. 1 Erneuerbare-Energien-Gesetz in der am 31.12.2021 geltenden Fassung</w:t>
            </w:r>
          </w:p>
          <w:p w14:paraId="06F29DDE" w14:textId="77777777" w:rsidR="00026C3F" w:rsidRDefault="00026C3F" w:rsidP="00A62E6F">
            <w:pPr>
              <w:pStyle w:val="idwtababs"/>
            </w:pPr>
            <w:r>
              <w:t>(von einem elektrischen, chemischen, mechanischen oder physikalischen Stromspeicher bei der Beladung verbrauchter Strom)</w:t>
            </w:r>
          </w:p>
        </w:tc>
      </w:tr>
      <w:tr w:rsidR="00026C3F" w14:paraId="68EE7C60"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03991330" w14:textId="77777777" w:rsidR="00026C3F" w:rsidRDefault="00026C3F" w:rsidP="00A62E6F">
            <w:pPr>
              <w:pStyle w:val="idwtablistfree1"/>
            </w:pPr>
            <w:r>
              <w:t>●</w:t>
            </w:r>
            <w:r>
              <w:tab/>
              <w:t>Verringerung der EEG-Umlage aufgrund von § 61l Abs. 2 Erneuerbare-Energien-Gesetz in der am 31.12.2021 geltenden Fassung</w:t>
            </w:r>
          </w:p>
          <w:p w14:paraId="2281CEFD" w14:textId="77777777" w:rsidR="00026C3F" w:rsidRDefault="00026C3F" w:rsidP="00A62E6F">
            <w:pPr>
              <w:pStyle w:val="idwtababs"/>
            </w:pPr>
            <w:r>
              <w:t>(zur Erzeugung von Speichergas verbrauchter Strom)</w:t>
            </w:r>
          </w:p>
        </w:tc>
      </w:tr>
    </w:tbl>
    <w:p w14:paraId="20265F1F" w14:textId="77777777" w:rsidR="00026C3F" w:rsidRDefault="00026C3F" w:rsidP="00026C3F">
      <w:pPr>
        <w:divId w:val="1932812704"/>
        <w:rPr>
          <w:vanish/>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54"/>
      </w:tblGrid>
      <w:tr w:rsidR="00026C3F" w14:paraId="77596CDD" w14:textId="77777777" w:rsidTr="00026C3F">
        <w:trPr>
          <w:divId w:val="1932812704"/>
          <w:tblHeader/>
        </w:trPr>
        <w:tc>
          <w:tcPr>
            <w:tcW w:w="9054" w:type="dxa"/>
            <w:tcBorders>
              <w:top w:val="outset" w:sz="6" w:space="0" w:color="auto"/>
              <w:left w:val="outset" w:sz="6" w:space="0" w:color="auto"/>
              <w:bottom w:val="outset" w:sz="6" w:space="0" w:color="auto"/>
              <w:right w:val="outset" w:sz="6" w:space="0" w:color="auto"/>
            </w:tcBorders>
            <w:hideMark/>
          </w:tcPr>
          <w:p w14:paraId="7B1BDF7B" w14:textId="77777777" w:rsidR="00026C3F" w:rsidRDefault="00026C3F" w:rsidP="00A62E6F">
            <w:pPr>
              <w:pStyle w:val="idwtababs"/>
              <w:rPr>
                <w:rFonts w:eastAsiaTheme="minorEastAsia"/>
              </w:rPr>
            </w:pPr>
            <w:r>
              <w:rPr>
                <w:b/>
                <w:bCs w:val="0"/>
              </w:rPr>
              <w:t>Umlagekategorien des Jahres 2020</w:t>
            </w:r>
          </w:p>
        </w:tc>
      </w:tr>
      <w:tr w:rsidR="00026C3F" w14:paraId="353AAA31"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3CB24BCD" w14:textId="77777777" w:rsidR="00026C3F" w:rsidRDefault="00026C3F" w:rsidP="00A62E6F">
            <w:pPr>
              <w:pStyle w:val="idwtablistfree1"/>
            </w:pPr>
            <w:r>
              <w:t>●</w:t>
            </w:r>
            <w:r>
              <w:tab/>
              <w:t>40 % der EEG-Umlage:</w:t>
            </w:r>
          </w:p>
          <w:p w14:paraId="1F12D882" w14:textId="77777777" w:rsidR="00026C3F" w:rsidRDefault="00026C3F" w:rsidP="00A62E6F">
            <w:pPr>
              <w:pStyle w:val="idwtababs"/>
            </w:pPr>
            <w:r>
              <w:t>EEG-Umlage nach § 61b bis § 61d Erneuerbare-Energien-Gesetz in der am 31.12.2020 geltenden Fassung</w:t>
            </w:r>
          </w:p>
          <w:p w14:paraId="3108AF52" w14:textId="77777777" w:rsidR="00026C3F" w:rsidRDefault="00026C3F" w:rsidP="00A62E6F">
            <w:pPr>
              <w:pStyle w:val="idwtababs"/>
            </w:pPr>
            <w:r>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auf die ersten 3.500 Vollbenutzungsstunden zur Eigenversorgung entfallen.)</w:t>
            </w:r>
          </w:p>
        </w:tc>
      </w:tr>
      <w:tr w:rsidR="00026C3F" w14:paraId="251287E3"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269FE5A1" w14:textId="77777777" w:rsidR="00026C3F" w:rsidRDefault="00026C3F" w:rsidP="00A62E6F">
            <w:pPr>
              <w:pStyle w:val="idwtablistfree1"/>
            </w:pPr>
            <w:r>
              <w:t>●</w:t>
            </w:r>
            <w:r>
              <w:tab/>
              <w:t>160 % der EEG-Umlage:</w:t>
            </w:r>
          </w:p>
          <w:p w14:paraId="5F39246F" w14:textId="77777777" w:rsidR="00026C3F" w:rsidRDefault="00026C3F" w:rsidP="00A62E6F">
            <w:pPr>
              <w:pStyle w:val="idwtababs"/>
            </w:pPr>
            <w:r>
              <w:t>EEG-Umlage in Folge von § 61c Abs. 2 Erneuerbare-Energien-Gesetz in der am 31.12.2020 geltenden Fassung</w:t>
            </w:r>
          </w:p>
          <w:p w14:paraId="2E379316" w14:textId="77777777" w:rsidR="00026C3F" w:rsidRDefault="00026C3F" w:rsidP="00A62E6F">
            <w:pPr>
              <w:pStyle w:val="idwtababs"/>
            </w:pPr>
            <w:r>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sich auf den Anteil der Vollbenutzungsstunden zur Eigenversorgung über 3.500 h und bis einschließlich 7.000 h beziehen.)</w:t>
            </w:r>
          </w:p>
        </w:tc>
      </w:tr>
      <w:tr w:rsidR="00026C3F" w14:paraId="22CB7564"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52F3E196" w14:textId="77777777" w:rsidR="00026C3F" w:rsidRDefault="00026C3F" w:rsidP="00A62E6F">
            <w:pPr>
              <w:pStyle w:val="idwtablistfree1"/>
            </w:pPr>
            <w:r>
              <w:t>●</w:t>
            </w:r>
            <w:r>
              <w:tab/>
              <w:t>20 % der EEG-Umlage:</w:t>
            </w:r>
          </w:p>
          <w:p w14:paraId="71221453" w14:textId="77777777" w:rsidR="00026C3F" w:rsidRDefault="00026C3F" w:rsidP="00A62E6F">
            <w:pPr>
              <w:pStyle w:val="idwtababs"/>
            </w:pPr>
            <w:r>
              <w:t>EEG-Umlage nach § 61g Abs. 1 und 2 Erneuerbare-Energien-Gesetz in der am 31.12.2020 geltenden Fassung</w:t>
            </w:r>
          </w:p>
          <w:p w14:paraId="4372B661" w14:textId="77777777" w:rsidR="00026C3F" w:rsidRDefault="00026C3F" w:rsidP="00A62E6F">
            <w:pPr>
              <w:pStyle w:val="idwtababs"/>
            </w:pPr>
            <w:r>
              <w:t>(Erneuerung und Ersetzung von Bestandsanlagen)</w:t>
            </w:r>
          </w:p>
        </w:tc>
      </w:tr>
      <w:tr w:rsidR="00026C3F" w14:paraId="6BE75E55"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7263421C" w14:textId="77777777" w:rsidR="00026C3F" w:rsidRDefault="00026C3F" w:rsidP="00A62E6F">
            <w:pPr>
              <w:pStyle w:val="idwtablistfree1"/>
            </w:pPr>
            <w:r>
              <w:lastRenderedPageBreak/>
              <w:t>●</w:t>
            </w:r>
            <w:r>
              <w:tab/>
              <w:t>100 % der EEG-Umlage:</w:t>
            </w:r>
          </w:p>
          <w:p w14:paraId="64EC22A2" w14:textId="77777777" w:rsidR="00026C3F" w:rsidRDefault="00026C3F" w:rsidP="00A62E6F">
            <w:pPr>
              <w:pStyle w:val="idwtababs"/>
            </w:pPr>
            <w:r>
              <w:t xml:space="preserve">EEG-Umlage nach § 61 Abs. 1 Erneuerbare-Energien-Gesetz in der am 31.12.2020 geltenden Fassung für Strom, für den kein Anspruch auf Entfall oder Verringerung der EEG-Umlage nach § 61a bis § 61g Erneuerbare-Energien-Gesetz in der am 31.12.2020 geltenden Fassung besteht </w:t>
            </w:r>
          </w:p>
          <w:p w14:paraId="51F9816F" w14:textId="77777777" w:rsidR="00026C3F" w:rsidRDefault="00026C3F" w:rsidP="00A62E6F">
            <w:pPr>
              <w:pStyle w:val="idwtababs"/>
            </w:pPr>
            <w:r>
              <w:t xml:space="preserve">(Bei hocheffizienten KWK-Anlagen mit einer Auslastung von mehr als 7.000 Vollbenutzungsstunden zur Eigenversorgung </w:t>
            </w:r>
            <w:proofErr w:type="gramStart"/>
            <w:r>
              <w:t>sind</w:t>
            </w:r>
            <w:proofErr w:type="gramEnd"/>
            <w:r>
              <w:t xml:space="preserve"> nur die anteiligen Strommengen und erhaltenen Zahlungen anzugeben, die sich auf den Anteil der Vollbenutzungsstunden zur Eigenversorgung oberhalb von 7.000 h beziehen. Ferner sind bei hocheffizienten KWK-Anlagen mit einer Auslastung von mehr als 3.500 Vollbenutzungsstunden zur Eigenversorgung nur die anteiligen Strommengen anzugeben, die sich auf den Anteil der Vollbenutzungsstunden zur Eigenversorgung oberhalb von 3.500 h beziehen.)</w:t>
            </w:r>
          </w:p>
        </w:tc>
      </w:tr>
      <w:tr w:rsidR="00026C3F" w14:paraId="088D4749"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261AC902" w14:textId="77777777" w:rsidR="00026C3F" w:rsidRDefault="00026C3F" w:rsidP="00A62E6F">
            <w:pPr>
              <w:pStyle w:val="idwtablistfree1"/>
            </w:pPr>
            <w:r>
              <w:t>●</w:t>
            </w:r>
            <w:r>
              <w:tab/>
              <w:t>100 % der EEG-Umlage:</w:t>
            </w:r>
          </w:p>
          <w:p w14:paraId="6C9E1B61" w14:textId="77777777" w:rsidR="00026C3F" w:rsidRDefault="00026C3F" w:rsidP="00A62E6F">
            <w:pPr>
              <w:pStyle w:val="idwtababs"/>
            </w:pPr>
            <w:r>
              <w:t>EEG-Umlage nach § 61i Abs. 1 Erneuerbare-Energien-Gesetz in der am 31.12.2021 geltenden Fassung</w:t>
            </w:r>
          </w:p>
        </w:tc>
      </w:tr>
      <w:tr w:rsidR="00026C3F" w14:paraId="73727160"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2EF4767D" w14:textId="77777777" w:rsidR="00026C3F" w:rsidRDefault="00026C3F" w:rsidP="00A62E6F">
            <w:pPr>
              <w:pStyle w:val="idwtablistfree1"/>
            </w:pPr>
            <w:r>
              <w:t>●</w:t>
            </w:r>
            <w:r>
              <w:tab/>
              <w:t>Erhöhung der EEG-Umlage um 20 Prozentpunkte aufgrund Sanktionierung nach § 61i Abs. 2 Erneuerbare-Energien-Gesetz in der am 31.12.2021 geltenden Fassung</w:t>
            </w:r>
          </w:p>
        </w:tc>
      </w:tr>
      <w:tr w:rsidR="00026C3F" w14:paraId="2CC286A7"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08745329" w14:textId="77777777" w:rsidR="00026C3F" w:rsidRDefault="00026C3F" w:rsidP="00A62E6F">
            <w:pPr>
              <w:pStyle w:val="idwtablistfree1"/>
            </w:pPr>
            <w:r>
              <w:t>●</w:t>
            </w:r>
            <w:r>
              <w:tab/>
              <w:t>Verringerung der EEG-Umlage aufgrund von § 61l Abs. 1 Erneuerbare-Energien-Gesetz in der am 31.12.2020 geltenden Fassung</w:t>
            </w:r>
          </w:p>
          <w:p w14:paraId="71A6F2EE" w14:textId="77777777" w:rsidR="00026C3F" w:rsidRDefault="00026C3F" w:rsidP="00A62E6F">
            <w:pPr>
              <w:pStyle w:val="idwtababs"/>
            </w:pPr>
            <w:r>
              <w:t>(von einem elektrischen, chemischen, mechanischen oder physikalischen Stromspeicher bei der Beladung verbrauchter Strom)</w:t>
            </w:r>
          </w:p>
        </w:tc>
      </w:tr>
      <w:tr w:rsidR="00026C3F" w14:paraId="517E5D01"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3DB4879D" w14:textId="77777777" w:rsidR="00026C3F" w:rsidRDefault="00026C3F" w:rsidP="00A62E6F">
            <w:pPr>
              <w:pStyle w:val="idwtablistfree1"/>
            </w:pPr>
            <w:r>
              <w:t>●</w:t>
            </w:r>
            <w:r>
              <w:tab/>
              <w:t>Verringerung der EEG-Umlage aufgrund von § 61l Abs. 2 Erneuerbare-Energien-Gesetz in der am 31.12.2020 geltenden Fassung</w:t>
            </w:r>
          </w:p>
          <w:p w14:paraId="51C36ECC" w14:textId="77777777" w:rsidR="00026C3F" w:rsidRDefault="00026C3F" w:rsidP="00A62E6F">
            <w:pPr>
              <w:pStyle w:val="idwtababs"/>
            </w:pPr>
            <w:r>
              <w:t>(zur Erzeugung von Speichergas verbrauchter Strom)</w:t>
            </w:r>
          </w:p>
        </w:tc>
      </w:tr>
    </w:tbl>
    <w:p w14:paraId="77C2C17B" w14:textId="77777777" w:rsidR="00026C3F" w:rsidRDefault="00026C3F" w:rsidP="00026C3F">
      <w:pPr>
        <w:divId w:val="1932812704"/>
        <w:rPr>
          <w:vanish/>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54"/>
      </w:tblGrid>
      <w:tr w:rsidR="00026C3F" w14:paraId="6FC75009" w14:textId="77777777" w:rsidTr="00026C3F">
        <w:trPr>
          <w:divId w:val="1932812704"/>
          <w:tblHeader/>
        </w:trPr>
        <w:tc>
          <w:tcPr>
            <w:tcW w:w="9054" w:type="dxa"/>
            <w:tcBorders>
              <w:top w:val="outset" w:sz="6" w:space="0" w:color="auto"/>
              <w:left w:val="outset" w:sz="6" w:space="0" w:color="auto"/>
              <w:bottom w:val="outset" w:sz="6" w:space="0" w:color="auto"/>
              <w:right w:val="outset" w:sz="6" w:space="0" w:color="auto"/>
            </w:tcBorders>
            <w:hideMark/>
          </w:tcPr>
          <w:p w14:paraId="05858EE3" w14:textId="77777777" w:rsidR="00026C3F" w:rsidRDefault="00026C3F" w:rsidP="00A62E6F">
            <w:pPr>
              <w:pStyle w:val="idwtababs"/>
              <w:rPr>
                <w:rFonts w:eastAsiaTheme="minorEastAsia"/>
              </w:rPr>
            </w:pPr>
            <w:r>
              <w:rPr>
                <w:b/>
                <w:bCs w:val="0"/>
              </w:rPr>
              <w:t>Umlagekategorien des Jahres 2019</w:t>
            </w:r>
          </w:p>
        </w:tc>
      </w:tr>
      <w:tr w:rsidR="00026C3F" w14:paraId="772B4990"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4C56649A" w14:textId="77777777" w:rsidR="00026C3F" w:rsidRDefault="00026C3F" w:rsidP="00A62E6F">
            <w:pPr>
              <w:pStyle w:val="idwtablistfree1"/>
            </w:pPr>
            <w:r>
              <w:t>●</w:t>
            </w:r>
            <w:r>
              <w:tab/>
              <w:t>40 % der EEG-Umlage:</w:t>
            </w:r>
          </w:p>
          <w:p w14:paraId="295E4130" w14:textId="77777777" w:rsidR="00026C3F" w:rsidRDefault="00026C3F" w:rsidP="00A62E6F">
            <w:pPr>
              <w:pStyle w:val="idwtababs"/>
            </w:pPr>
            <w:r>
              <w:t>EEG-Umlage nach § 61b bis § 61d Erneuerbare-Energien-Gesetz in der am 31.12.2019 geltenden Fassung</w:t>
            </w:r>
          </w:p>
          <w:p w14:paraId="1FF78EBA" w14:textId="77777777" w:rsidR="00026C3F" w:rsidRDefault="00026C3F" w:rsidP="00A62E6F">
            <w:pPr>
              <w:pStyle w:val="idwtababs"/>
            </w:pPr>
            <w:r>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auf die ersten 3.500 Vollbenutzungsstunden zur Eigenversorgung entfallen.)</w:t>
            </w:r>
          </w:p>
        </w:tc>
      </w:tr>
      <w:tr w:rsidR="00026C3F" w14:paraId="4C41C3A3"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52B20AE7" w14:textId="77777777" w:rsidR="00026C3F" w:rsidRDefault="00026C3F" w:rsidP="00A62E6F">
            <w:pPr>
              <w:pStyle w:val="idwtablistfree1"/>
            </w:pPr>
            <w:r>
              <w:t>●</w:t>
            </w:r>
            <w:r>
              <w:tab/>
              <w:t>160 % der EEG-Umlage:</w:t>
            </w:r>
          </w:p>
          <w:p w14:paraId="135927D9" w14:textId="77777777" w:rsidR="00026C3F" w:rsidRDefault="00026C3F" w:rsidP="00A62E6F">
            <w:pPr>
              <w:pStyle w:val="idwtababs"/>
            </w:pPr>
            <w:r>
              <w:t>EEG-Umlage in Folge von § 61c Abs. 2 Erneuerbare-Energien-Gesetz in der am 31.12.2019 geltenden Fassung</w:t>
            </w:r>
          </w:p>
          <w:p w14:paraId="5E5A60D5" w14:textId="77777777" w:rsidR="00026C3F" w:rsidRDefault="00026C3F" w:rsidP="00A62E6F">
            <w:pPr>
              <w:pStyle w:val="idwtababs"/>
            </w:pPr>
            <w:r>
              <w:lastRenderedPageBreak/>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sich auf den Anteil der Vollbenutzungsstunden zur Eigenversorgung über 3.500 h und bis einschließlich 7.000 h beziehen.)</w:t>
            </w:r>
          </w:p>
        </w:tc>
      </w:tr>
      <w:tr w:rsidR="00026C3F" w14:paraId="517B4961"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11FB3283" w14:textId="77777777" w:rsidR="00026C3F" w:rsidRDefault="00026C3F" w:rsidP="00A62E6F">
            <w:pPr>
              <w:pStyle w:val="idwtablistfree1"/>
            </w:pPr>
            <w:r>
              <w:lastRenderedPageBreak/>
              <w:t>●</w:t>
            </w:r>
            <w:r>
              <w:tab/>
              <w:t>20 % der EEG-Umlage:</w:t>
            </w:r>
          </w:p>
          <w:p w14:paraId="6CCD8D73" w14:textId="77777777" w:rsidR="00026C3F" w:rsidRDefault="00026C3F" w:rsidP="00A62E6F">
            <w:pPr>
              <w:pStyle w:val="idwtababs"/>
            </w:pPr>
            <w:r>
              <w:t>EEG-Umlage nach § 61g Abs. 1 und 2 Erneuerbare-Energien-Gesetz in der am 31.12.2019 geltenden Fassung</w:t>
            </w:r>
          </w:p>
          <w:p w14:paraId="24B86805" w14:textId="77777777" w:rsidR="00026C3F" w:rsidRDefault="00026C3F" w:rsidP="00A62E6F">
            <w:pPr>
              <w:pStyle w:val="idwtababs"/>
            </w:pPr>
            <w:r>
              <w:t>(Erneuerung und Ersetzung von Bestandsanlagen)</w:t>
            </w:r>
          </w:p>
        </w:tc>
      </w:tr>
      <w:tr w:rsidR="00026C3F" w14:paraId="2FC92461"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01BAE59C" w14:textId="77777777" w:rsidR="00026C3F" w:rsidRDefault="00026C3F" w:rsidP="00A62E6F">
            <w:pPr>
              <w:pStyle w:val="idwtablistfree1"/>
            </w:pPr>
            <w:r>
              <w:t>●</w:t>
            </w:r>
            <w:r>
              <w:tab/>
              <w:t>100 % der EEG-Umlage:</w:t>
            </w:r>
          </w:p>
          <w:p w14:paraId="7A073D34" w14:textId="77777777" w:rsidR="00026C3F" w:rsidRDefault="00026C3F" w:rsidP="00A62E6F">
            <w:pPr>
              <w:pStyle w:val="idwtababs"/>
            </w:pPr>
            <w:r>
              <w:t xml:space="preserve">EEG-Umlage nach § 61 Abs. 1 Erneuerbare-Energien-Gesetz in der am 31.12.2019 geltenden Fassung für Strom, für den kein Anspruch auf Entfall oder Verringerung der EEG-Umlage nach § 61a bis § 61g Erneuerbare-Energien-Gesetz in der am 31.12.2019 geltenden Fassung besteht </w:t>
            </w:r>
          </w:p>
          <w:p w14:paraId="02C3E231" w14:textId="77777777" w:rsidR="00026C3F" w:rsidRDefault="00026C3F" w:rsidP="00A62E6F">
            <w:pPr>
              <w:pStyle w:val="idwtababs"/>
            </w:pPr>
            <w:r>
              <w:t xml:space="preserve">(Bei hocheffizienten KWK-Anlagen mit einer Auslastung von mehr als 7.000 Vollbenutzungsstunden zur Eigenversorgung </w:t>
            </w:r>
            <w:proofErr w:type="gramStart"/>
            <w:r>
              <w:t>sind</w:t>
            </w:r>
            <w:proofErr w:type="gramEnd"/>
            <w:r>
              <w:t xml:space="preserve"> nur die anteiligen Strommengen und erhaltenen Zahlungen anzugeben, die sich auf den Anteil der Vollbenutzungsstunden zur Eigenversorgung oberhalb von 7.000 h beziehen. Ferner sind bei hocheffizienten KWK-Anlagen mit einer Auslastung von mehr als 3.500 Vollbenutzungsstunden zur Eigenversorgung nur die anteiligen Strommengen anzugeben, die sich auf den Anteil der Vollbenutzungsstunden zur Eigenversorgung oberhalb von 3.500 h beziehen.)</w:t>
            </w:r>
          </w:p>
        </w:tc>
      </w:tr>
      <w:tr w:rsidR="00026C3F" w14:paraId="539E23DA"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52856805" w14:textId="77777777" w:rsidR="00026C3F" w:rsidRDefault="00026C3F" w:rsidP="00A62E6F">
            <w:pPr>
              <w:pStyle w:val="idwtablistfree1"/>
            </w:pPr>
            <w:r>
              <w:t>●</w:t>
            </w:r>
            <w:r>
              <w:tab/>
              <w:t>100 % der EEG-Umlage:</w:t>
            </w:r>
          </w:p>
          <w:p w14:paraId="62F45CEF" w14:textId="77777777" w:rsidR="00026C3F" w:rsidRDefault="00026C3F" w:rsidP="00A62E6F">
            <w:pPr>
              <w:pStyle w:val="idwtababs"/>
            </w:pPr>
            <w:r>
              <w:t>EEG-Umlage nach § 61i Abs. 1 Erneuerbare-Energien-Gesetz in der am 31.12.2020 geltenden Fassung</w:t>
            </w:r>
          </w:p>
        </w:tc>
      </w:tr>
      <w:tr w:rsidR="00026C3F" w14:paraId="3EEEA71C"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74D232AA" w14:textId="77777777" w:rsidR="00026C3F" w:rsidRDefault="00026C3F" w:rsidP="00A62E6F">
            <w:pPr>
              <w:pStyle w:val="idwtablistfree1"/>
            </w:pPr>
            <w:r>
              <w:t>●</w:t>
            </w:r>
            <w:r>
              <w:tab/>
              <w:t>Erhöhung der EEG-Umlage um 20 Prozentpunkte aufgrund Sanktionierung nach § 61i Abs. 2 Erneuerbare-Energien-Gesetz in der am 31.12.2020 geltenden Fassung</w:t>
            </w:r>
          </w:p>
        </w:tc>
      </w:tr>
      <w:tr w:rsidR="00026C3F" w14:paraId="257C31D0"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648DA0AE" w14:textId="77777777" w:rsidR="00026C3F" w:rsidRDefault="00026C3F" w:rsidP="00A62E6F">
            <w:pPr>
              <w:pStyle w:val="idwtablistfree1"/>
            </w:pPr>
            <w:r>
              <w:t>●</w:t>
            </w:r>
            <w:r>
              <w:tab/>
              <w:t>Verringerung der EEG-Umlage aufgrund von § 61l Abs. 1 Erneuerbare-Energien-Gesetz in der am 31.12.2019 geltenden Fassung</w:t>
            </w:r>
          </w:p>
          <w:p w14:paraId="285A264D" w14:textId="77777777" w:rsidR="00026C3F" w:rsidRDefault="00026C3F" w:rsidP="00A62E6F">
            <w:pPr>
              <w:pStyle w:val="idwtababs"/>
            </w:pPr>
            <w:r>
              <w:t>(von einem elektrischen, chemischen, mechanischen oder physikalischen Stromspeicher bei der Beladung verbrauchter Strom)</w:t>
            </w:r>
          </w:p>
        </w:tc>
      </w:tr>
      <w:tr w:rsidR="00026C3F" w14:paraId="66F4B4A9"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288FCA3C" w14:textId="77777777" w:rsidR="00026C3F" w:rsidRDefault="00026C3F" w:rsidP="00A62E6F">
            <w:pPr>
              <w:pStyle w:val="idwtablistfree1"/>
            </w:pPr>
            <w:r>
              <w:t>●</w:t>
            </w:r>
            <w:r>
              <w:tab/>
              <w:t>Verringerung der EEG-Umlage aufgrund von § 61l Abs. 2 Erneuerbare-Energien-Gesetz in der am 31.12.2019 geltenden Fassung</w:t>
            </w:r>
          </w:p>
          <w:p w14:paraId="2F4E3930" w14:textId="77777777" w:rsidR="00026C3F" w:rsidRDefault="00026C3F" w:rsidP="00A62E6F">
            <w:pPr>
              <w:pStyle w:val="idwtababs"/>
            </w:pPr>
            <w:r>
              <w:t>(zur Erzeugung von Speichergas verbrauchter Strom)</w:t>
            </w:r>
          </w:p>
        </w:tc>
      </w:tr>
    </w:tbl>
    <w:p w14:paraId="54C3A982" w14:textId="77777777" w:rsidR="00026C3F" w:rsidRDefault="00026C3F" w:rsidP="00026C3F">
      <w:pPr>
        <w:divId w:val="1932812704"/>
        <w:rPr>
          <w:vanish/>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54"/>
      </w:tblGrid>
      <w:tr w:rsidR="00026C3F" w14:paraId="5E7CE58E" w14:textId="77777777" w:rsidTr="00026C3F">
        <w:trPr>
          <w:divId w:val="1932812704"/>
          <w:tblHeader/>
        </w:trPr>
        <w:tc>
          <w:tcPr>
            <w:tcW w:w="9054" w:type="dxa"/>
            <w:tcBorders>
              <w:top w:val="outset" w:sz="6" w:space="0" w:color="auto"/>
              <w:left w:val="outset" w:sz="6" w:space="0" w:color="auto"/>
              <w:bottom w:val="outset" w:sz="6" w:space="0" w:color="auto"/>
              <w:right w:val="outset" w:sz="6" w:space="0" w:color="auto"/>
            </w:tcBorders>
            <w:hideMark/>
          </w:tcPr>
          <w:p w14:paraId="714AD290" w14:textId="77777777" w:rsidR="00026C3F" w:rsidRDefault="00026C3F" w:rsidP="00A62E6F">
            <w:pPr>
              <w:pStyle w:val="idwtababs"/>
              <w:rPr>
                <w:rFonts w:eastAsiaTheme="minorEastAsia"/>
              </w:rPr>
            </w:pPr>
            <w:r>
              <w:rPr>
                <w:b/>
                <w:bCs w:val="0"/>
              </w:rPr>
              <w:t>Umlagekategorien des Jahres 2018</w:t>
            </w:r>
          </w:p>
        </w:tc>
      </w:tr>
      <w:tr w:rsidR="00026C3F" w14:paraId="66A8795A"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787F738A" w14:textId="77777777" w:rsidR="00026C3F" w:rsidRDefault="00026C3F" w:rsidP="00A62E6F">
            <w:pPr>
              <w:pStyle w:val="idwtablistfree1"/>
            </w:pPr>
            <w:r>
              <w:t>●</w:t>
            </w:r>
            <w:r>
              <w:tab/>
              <w:t>40 % der EEG-Umlage:</w:t>
            </w:r>
          </w:p>
          <w:p w14:paraId="4C80781B" w14:textId="77777777" w:rsidR="00026C3F" w:rsidRDefault="00026C3F" w:rsidP="00A62E6F">
            <w:pPr>
              <w:pStyle w:val="idwtababs"/>
            </w:pPr>
            <w:r>
              <w:lastRenderedPageBreak/>
              <w:t>EEG-Umlage nach § 61b bis § 61d Erneuerbare-Energien-Gesetz in der am 31.12.2018 geltenden Fassung</w:t>
            </w:r>
          </w:p>
          <w:p w14:paraId="778C9120" w14:textId="77777777" w:rsidR="00026C3F" w:rsidRDefault="00026C3F" w:rsidP="00A62E6F">
            <w:pPr>
              <w:pStyle w:val="idwtababs"/>
            </w:pPr>
            <w:r>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auf die ersten 3.500 Vollbenutzungsstunden zur Eigenversorgung entfallen.)</w:t>
            </w:r>
          </w:p>
        </w:tc>
      </w:tr>
      <w:tr w:rsidR="00026C3F" w14:paraId="51FAC3C4"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68444DEE" w14:textId="77777777" w:rsidR="00026C3F" w:rsidRDefault="00026C3F" w:rsidP="00A62E6F">
            <w:pPr>
              <w:pStyle w:val="idwtablistfree1"/>
            </w:pPr>
            <w:r>
              <w:lastRenderedPageBreak/>
              <w:t>●</w:t>
            </w:r>
            <w:r>
              <w:tab/>
              <w:t>160 % der EEG-Umlage:</w:t>
            </w:r>
          </w:p>
          <w:p w14:paraId="1F6E944E" w14:textId="77777777" w:rsidR="00026C3F" w:rsidRDefault="00026C3F" w:rsidP="00A62E6F">
            <w:pPr>
              <w:pStyle w:val="idwtababs"/>
            </w:pPr>
            <w:r>
              <w:t>EEG-Umlage in Folge von § 61c Abs. 2 Erneuerbare-Energien-Gesetz in der am 31.12.2018 geltenden Fassung</w:t>
            </w:r>
          </w:p>
          <w:p w14:paraId="703C3CF0" w14:textId="77777777" w:rsidR="00026C3F" w:rsidRDefault="00026C3F" w:rsidP="00A62E6F">
            <w:pPr>
              <w:pStyle w:val="idwtababs"/>
            </w:pPr>
            <w:r>
              <w:t xml:space="preserve">(Bei hocheffizienten KWK-Anlagen mit einer Auslastung von mehr als 3.500 Vollbenutzungsstunden zur Eigenversorgung </w:t>
            </w:r>
            <w:proofErr w:type="gramStart"/>
            <w:r>
              <w:t>sind</w:t>
            </w:r>
            <w:proofErr w:type="gramEnd"/>
            <w:r>
              <w:t xml:space="preserve"> nur die anteiligen Strommengen und erhaltenen Zahlungen anzugeben, die sich auf den Anteil der Vollbenutzungsstunden zur Eigenversorgung über 3.500 h und bis einschließlich 7.000 h beziehen.)</w:t>
            </w:r>
          </w:p>
        </w:tc>
      </w:tr>
      <w:tr w:rsidR="00026C3F" w14:paraId="124F4430"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1C35045B" w14:textId="77777777" w:rsidR="00026C3F" w:rsidRDefault="00026C3F" w:rsidP="00A62E6F">
            <w:pPr>
              <w:pStyle w:val="idwtablistfree1"/>
            </w:pPr>
            <w:r>
              <w:t>●</w:t>
            </w:r>
            <w:r>
              <w:tab/>
              <w:t>20 % der EEG-Umlage:</w:t>
            </w:r>
          </w:p>
          <w:p w14:paraId="38F4DBD8" w14:textId="77777777" w:rsidR="00026C3F" w:rsidRDefault="00026C3F" w:rsidP="00A62E6F">
            <w:pPr>
              <w:pStyle w:val="idwtababs"/>
            </w:pPr>
            <w:r>
              <w:t>EEG-Umlage nach § 61g Abs. 1 und 2 Erneuerbare-Energien-Gesetz in der am 31.12.2018 geltenden Fassung</w:t>
            </w:r>
          </w:p>
          <w:p w14:paraId="24A2BD92" w14:textId="77777777" w:rsidR="00026C3F" w:rsidRDefault="00026C3F" w:rsidP="00A62E6F">
            <w:pPr>
              <w:pStyle w:val="idwtababs"/>
            </w:pPr>
            <w:r>
              <w:t>(Erneuerung und Ersetzung von Bestandsanlagen)</w:t>
            </w:r>
          </w:p>
        </w:tc>
      </w:tr>
      <w:tr w:rsidR="00026C3F" w14:paraId="1530834F"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05F7971E" w14:textId="77777777" w:rsidR="00026C3F" w:rsidRDefault="00026C3F" w:rsidP="00A62E6F">
            <w:pPr>
              <w:pStyle w:val="idwtablistfree1"/>
            </w:pPr>
            <w:r>
              <w:t>●</w:t>
            </w:r>
            <w:r>
              <w:tab/>
              <w:t>100 % der EEG-Umlage:</w:t>
            </w:r>
          </w:p>
          <w:p w14:paraId="066D1DCA" w14:textId="77777777" w:rsidR="00026C3F" w:rsidRDefault="00026C3F" w:rsidP="00A62E6F">
            <w:pPr>
              <w:pStyle w:val="idwtababs"/>
            </w:pPr>
            <w:r>
              <w:t xml:space="preserve">EEG-Umlage nach § 61 Abs. 1 Erneuerbare-Energien-Gesetz in der am 31.12.2018 geltenden Fassung für Strom, für den kein Anspruch auf Entfall oder Verringerung der EEG-Umlage nach § 61a bis § 61g Erneuerbare-Energien-Gesetz in der am 31.12.2018 geltenden Fassung besteht </w:t>
            </w:r>
          </w:p>
          <w:p w14:paraId="231C713A" w14:textId="77777777" w:rsidR="00026C3F" w:rsidRDefault="00026C3F" w:rsidP="00A62E6F">
            <w:pPr>
              <w:pStyle w:val="idwtababs"/>
            </w:pPr>
            <w:r>
              <w:t xml:space="preserve">(Bei hocheffizienten KWK-Anlagen mit einer Auslastung von mehr als 7.000 Vollbenutzungsstunden zur Eigenversorgung </w:t>
            </w:r>
            <w:proofErr w:type="gramStart"/>
            <w:r>
              <w:t>sind</w:t>
            </w:r>
            <w:proofErr w:type="gramEnd"/>
            <w:r>
              <w:t xml:space="preserve"> nur die anteiligen Strommengen und erhaltenen Zahlungen anzugeben, die sich auf den Anteil der Vollbenutzungsstunden zur Eigenversorgung oberhalb von 7.000 h beziehen. Ferner sind bei hocheffizienten KWK-Anlagen mit einer Auslastung von mehr als 3.500 Vollbenutzungsstunden zur Eigenversorgung nur die anteiligen Strommengen anzugeben, die sich auf den Anteil der Vollbenutzungsstunden zur Eigenversorgung oberhalb von 3.500 h beziehen.)</w:t>
            </w:r>
          </w:p>
        </w:tc>
      </w:tr>
      <w:tr w:rsidR="00026C3F" w14:paraId="4CDF1364"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012A1AE3" w14:textId="77777777" w:rsidR="00026C3F" w:rsidRDefault="00026C3F" w:rsidP="00A62E6F">
            <w:pPr>
              <w:pStyle w:val="idwtablistfree1"/>
            </w:pPr>
            <w:r>
              <w:t>●</w:t>
            </w:r>
            <w:r>
              <w:tab/>
              <w:t>100 % der EEG-Umlage:</w:t>
            </w:r>
          </w:p>
          <w:p w14:paraId="475617E2" w14:textId="77777777" w:rsidR="00026C3F" w:rsidRDefault="00026C3F" w:rsidP="00A62E6F">
            <w:pPr>
              <w:pStyle w:val="idwtababs"/>
            </w:pPr>
            <w:r>
              <w:t>EEG-Umlage nach § 61i Abs. 1 Erneuerbare-Energien-Gesetz in der am 31.12.2019 geltenden Fassung</w:t>
            </w:r>
          </w:p>
        </w:tc>
      </w:tr>
      <w:tr w:rsidR="00026C3F" w14:paraId="5023A0A7"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24F7C3EA" w14:textId="77777777" w:rsidR="00026C3F" w:rsidRDefault="00026C3F" w:rsidP="00A62E6F">
            <w:pPr>
              <w:pStyle w:val="idwtablistfree1"/>
            </w:pPr>
            <w:r>
              <w:t>●</w:t>
            </w:r>
            <w:r>
              <w:tab/>
              <w:t>Erhöhung der EEG-Umlage um 20 Prozentpunkte aufgrund Sanktionierung nach § 61i Abs. 2 Erneuerbare-Energien-Gesetz in der am 31.12.2019 geltenden Fassung</w:t>
            </w:r>
          </w:p>
        </w:tc>
      </w:tr>
      <w:tr w:rsidR="00026C3F" w14:paraId="131DC305"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01D70CCD" w14:textId="77777777" w:rsidR="00026C3F" w:rsidRDefault="00026C3F" w:rsidP="00A62E6F">
            <w:pPr>
              <w:pStyle w:val="idwtablistfree1"/>
            </w:pPr>
            <w:r>
              <w:t>●</w:t>
            </w:r>
            <w:r>
              <w:tab/>
              <w:t>Verringerung der EEG-Umlage aufgrund von § 61l Abs. 1 Erneuerbare-Energien-Gesetz in der am 31.12.2018 geltenden Fassung</w:t>
            </w:r>
          </w:p>
          <w:p w14:paraId="3212B7B1" w14:textId="77777777" w:rsidR="00026C3F" w:rsidRDefault="00026C3F" w:rsidP="00A62E6F">
            <w:pPr>
              <w:pStyle w:val="idwtababs"/>
            </w:pPr>
            <w:r>
              <w:t>(von einem elektrischen, chemischen, mechanischen oder physikalischen Stromspeicher bei der Beladung verbrauchter Strom)</w:t>
            </w:r>
          </w:p>
        </w:tc>
      </w:tr>
      <w:tr w:rsidR="00026C3F" w14:paraId="7016BE98"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77CF4665" w14:textId="77777777" w:rsidR="00026C3F" w:rsidRDefault="00026C3F" w:rsidP="00A62E6F">
            <w:pPr>
              <w:pStyle w:val="idwtablistfree1"/>
            </w:pPr>
            <w:r>
              <w:lastRenderedPageBreak/>
              <w:t>●</w:t>
            </w:r>
            <w:r>
              <w:tab/>
              <w:t>Verringerung der EEG-Umlage aufgrund von § 61l Abs. 2 Erneuerbare-Energien-Gesetz in der am 31.12.2018 geltenden Fassung</w:t>
            </w:r>
          </w:p>
          <w:p w14:paraId="65CC77A4" w14:textId="77777777" w:rsidR="00026C3F" w:rsidRDefault="00026C3F" w:rsidP="00A62E6F">
            <w:pPr>
              <w:pStyle w:val="idwtababs"/>
            </w:pPr>
            <w:r>
              <w:t>(zur Erzeugung von Speichergas verbrauchter Strom)</w:t>
            </w:r>
          </w:p>
        </w:tc>
      </w:tr>
    </w:tbl>
    <w:p w14:paraId="339ABC43" w14:textId="77777777" w:rsidR="00026C3F" w:rsidRDefault="00026C3F" w:rsidP="00026C3F">
      <w:pPr>
        <w:divId w:val="1932812704"/>
        <w:rPr>
          <w:vanish/>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54"/>
      </w:tblGrid>
      <w:tr w:rsidR="00026C3F" w14:paraId="5EA59973" w14:textId="77777777" w:rsidTr="00026C3F">
        <w:trPr>
          <w:divId w:val="1932812704"/>
          <w:tblHeader/>
        </w:trPr>
        <w:tc>
          <w:tcPr>
            <w:tcW w:w="9054" w:type="dxa"/>
            <w:tcBorders>
              <w:top w:val="outset" w:sz="6" w:space="0" w:color="auto"/>
              <w:left w:val="outset" w:sz="6" w:space="0" w:color="auto"/>
              <w:bottom w:val="outset" w:sz="6" w:space="0" w:color="auto"/>
              <w:right w:val="outset" w:sz="6" w:space="0" w:color="auto"/>
            </w:tcBorders>
            <w:hideMark/>
          </w:tcPr>
          <w:p w14:paraId="523537AC" w14:textId="77777777" w:rsidR="00026C3F" w:rsidRDefault="00026C3F" w:rsidP="00A62E6F">
            <w:pPr>
              <w:pStyle w:val="idwtababs"/>
              <w:rPr>
                <w:rFonts w:eastAsiaTheme="minorEastAsia"/>
              </w:rPr>
            </w:pPr>
            <w:r>
              <w:rPr>
                <w:b/>
                <w:bCs w:val="0"/>
              </w:rPr>
              <w:t>Umlagekategorien des Jahres 2017</w:t>
            </w:r>
          </w:p>
        </w:tc>
      </w:tr>
      <w:tr w:rsidR="00026C3F" w14:paraId="27B74727"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11FCB40F" w14:textId="77777777" w:rsidR="00026C3F" w:rsidRDefault="00026C3F" w:rsidP="00A62E6F">
            <w:pPr>
              <w:pStyle w:val="idwtablistfree1"/>
            </w:pPr>
            <w:r>
              <w:t>●</w:t>
            </w:r>
            <w:r>
              <w:tab/>
              <w:t>40 % der EEG-Umlage:</w:t>
            </w:r>
          </w:p>
          <w:p w14:paraId="269470C7" w14:textId="77777777" w:rsidR="00026C3F" w:rsidRDefault="00026C3F" w:rsidP="00A62E6F">
            <w:pPr>
              <w:pStyle w:val="idwtababs"/>
            </w:pPr>
            <w:r>
              <w:t>EEG-Umlage nach § 61b Erneuerbare-Energien-Gesetz in der am 31.12.2017 geltenden Fassung</w:t>
            </w:r>
          </w:p>
        </w:tc>
      </w:tr>
      <w:tr w:rsidR="00026C3F" w14:paraId="494ADF7D"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3D317A3C" w14:textId="77777777" w:rsidR="00026C3F" w:rsidRDefault="00026C3F" w:rsidP="00A62E6F">
            <w:pPr>
              <w:pStyle w:val="idwtablistfree1"/>
            </w:pPr>
            <w:r>
              <w:t>●</w:t>
            </w:r>
            <w:r>
              <w:tab/>
              <w:t>100 % der EEG-Umlage:</w:t>
            </w:r>
          </w:p>
          <w:p w14:paraId="2E2B2C2F" w14:textId="77777777" w:rsidR="00026C3F" w:rsidRDefault="00026C3F" w:rsidP="00A62E6F">
            <w:pPr>
              <w:pStyle w:val="idwtababs"/>
            </w:pPr>
            <w:r>
              <w:t xml:space="preserve">EEG-Umlage nach § 61 Abs. 1 Erneuerbare-Energien-Gesetz in der am 31.12.2017 geltenden Fassung für Anlagen, die keinen Anspruch auf Entfall oder Verringerung der EEG-Umlage nach § 61a bis § 61d Erneuerbare-Energien-Gesetz in der am 31.12.2017 geltenden Fassung haben </w:t>
            </w:r>
          </w:p>
        </w:tc>
      </w:tr>
      <w:tr w:rsidR="00026C3F" w14:paraId="5E8E7C51"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586CA523" w14:textId="77777777" w:rsidR="00026C3F" w:rsidRDefault="00026C3F" w:rsidP="00A62E6F">
            <w:pPr>
              <w:pStyle w:val="idwtablistfree1"/>
            </w:pPr>
            <w:r>
              <w:t>●</w:t>
            </w:r>
            <w:r>
              <w:tab/>
              <w:t>100 % der EEG-Umlage:</w:t>
            </w:r>
          </w:p>
          <w:p w14:paraId="5B080AAD" w14:textId="77777777" w:rsidR="00026C3F" w:rsidRDefault="00026C3F" w:rsidP="00A62E6F">
            <w:pPr>
              <w:pStyle w:val="idwtababs"/>
            </w:pPr>
            <w:r>
              <w:t>EEG-Umlage nach § 61i Abs. 1 Erneuerbare-Energien-Gesetz in der am 31.12.2018 geltenden Fassung</w:t>
            </w:r>
          </w:p>
        </w:tc>
      </w:tr>
      <w:tr w:rsidR="00026C3F" w14:paraId="1E4F0E6B"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1B4417BB" w14:textId="77777777" w:rsidR="00026C3F" w:rsidRDefault="00026C3F" w:rsidP="00A62E6F">
            <w:pPr>
              <w:pStyle w:val="idwtablistfree1"/>
            </w:pPr>
            <w:r>
              <w:t>●</w:t>
            </w:r>
            <w:r>
              <w:tab/>
              <w:t>Erhöhung der EEG-Umlage um 20 Prozentpunkte aufgrund Sanktionierung nach § 61i Abs. 2 Erneuerbare-Energien-Gesetz in der am 31.12.2018 geltenden Fassung</w:t>
            </w:r>
          </w:p>
        </w:tc>
      </w:tr>
      <w:tr w:rsidR="00026C3F" w14:paraId="6C5C996D"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59E8DC29" w14:textId="77777777" w:rsidR="00026C3F" w:rsidRDefault="00026C3F" w:rsidP="00A62E6F">
            <w:pPr>
              <w:pStyle w:val="idwtablistfree1"/>
            </w:pPr>
            <w:r>
              <w:t>●</w:t>
            </w:r>
            <w:r>
              <w:tab/>
              <w:t>Verringerung der EEG-Umlage aufgrund von § 61k Abs. 1 Erneuerbare-Energien-Gesetz in der am 31.12.2017 geltenden Fassung</w:t>
            </w:r>
          </w:p>
          <w:p w14:paraId="55530110" w14:textId="77777777" w:rsidR="00026C3F" w:rsidRDefault="00026C3F" w:rsidP="00A62E6F">
            <w:pPr>
              <w:pStyle w:val="idwtababs"/>
            </w:pPr>
            <w:r>
              <w:t>(von einem elektrischen, chemischen, mechanischen oder physikalischen Stromspeicher bei der Beladung verbrauchter Strom)</w:t>
            </w:r>
          </w:p>
        </w:tc>
      </w:tr>
      <w:tr w:rsidR="00026C3F" w14:paraId="32352A04"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3776E9E7" w14:textId="77777777" w:rsidR="00026C3F" w:rsidRDefault="00026C3F" w:rsidP="00A62E6F">
            <w:pPr>
              <w:pStyle w:val="idwtablistfree1"/>
            </w:pPr>
            <w:r>
              <w:t>●</w:t>
            </w:r>
            <w:r>
              <w:tab/>
              <w:t>Verringerung der EEG-Umlage aufgrund von § 61k Abs. 2 Erneuerbare-Energien-Gesetz in der am 31.12.2017 geltenden Fassung</w:t>
            </w:r>
          </w:p>
          <w:p w14:paraId="67F80DC5" w14:textId="77777777" w:rsidR="00026C3F" w:rsidRDefault="00026C3F" w:rsidP="00A62E6F">
            <w:pPr>
              <w:pStyle w:val="idwtababs"/>
            </w:pPr>
            <w:r>
              <w:t>(zur Erzeugung von Speichergas verbrauchter Strom)</w:t>
            </w:r>
          </w:p>
        </w:tc>
      </w:tr>
    </w:tbl>
    <w:p w14:paraId="3C99A110" w14:textId="77777777" w:rsidR="00026C3F" w:rsidRDefault="00026C3F" w:rsidP="00026C3F">
      <w:pPr>
        <w:divId w:val="1932812704"/>
        <w:rPr>
          <w:vanish/>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54"/>
      </w:tblGrid>
      <w:tr w:rsidR="00026C3F" w14:paraId="510D9548" w14:textId="77777777" w:rsidTr="00026C3F">
        <w:trPr>
          <w:divId w:val="1932812704"/>
          <w:tblHeader/>
        </w:trPr>
        <w:tc>
          <w:tcPr>
            <w:tcW w:w="9054" w:type="dxa"/>
            <w:tcBorders>
              <w:top w:val="outset" w:sz="6" w:space="0" w:color="auto"/>
              <w:left w:val="outset" w:sz="6" w:space="0" w:color="auto"/>
              <w:bottom w:val="outset" w:sz="6" w:space="0" w:color="auto"/>
              <w:right w:val="outset" w:sz="6" w:space="0" w:color="auto"/>
            </w:tcBorders>
            <w:hideMark/>
          </w:tcPr>
          <w:p w14:paraId="6CC4B2D5" w14:textId="77777777" w:rsidR="00026C3F" w:rsidRDefault="00026C3F" w:rsidP="00A62E6F">
            <w:pPr>
              <w:pStyle w:val="idwtababs"/>
              <w:rPr>
                <w:rFonts w:eastAsiaTheme="minorEastAsia"/>
              </w:rPr>
            </w:pPr>
            <w:r>
              <w:rPr>
                <w:b/>
                <w:bCs w:val="0"/>
              </w:rPr>
              <w:t>Umlagekategorien des Jahres 2016</w:t>
            </w:r>
          </w:p>
        </w:tc>
      </w:tr>
      <w:tr w:rsidR="00026C3F" w14:paraId="2F31B897"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1124C765" w14:textId="77777777" w:rsidR="00026C3F" w:rsidRDefault="00026C3F" w:rsidP="00A62E6F">
            <w:pPr>
              <w:pStyle w:val="idwtablistfree1"/>
            </w:pPr>
            <w:r>
              <w:t>●</w:t>
            </w:r>
            <w:r>
              <w:tab/>
              <w:t>35 % der EEG-Umlage:</w:t>
            </w:r>
          </w:p>
          <w:p w14:paraId="4B02382B" w14:textId="77777777" w:rsidR="00026C3F" w:rsidRDefault="00026C3F" w:rsidP="00A62E6F">
            <w:pPr>
              <w:pStyle w:val="idwtababs"/>
            </w:pPr>
            <w:r>
              <w:t>EEG-Umlage nach § 61 Abs. 1 Satz 1 Nr. 2 Erneuerbare-Energien-Gesetz in der am 31.12.2016 geltenden Fassung</w:t>
            </w:r>
          </w:p>
        </w:tc>
      </w:tr>
      <w:tr w:rsidR="00026C3F" w14:paraId="6E2BF615"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21835312" w14:textId="77777777" w:rsidR="00026C3F" w:rsidRDefault="00026C3F" w:rsidP="00A62E6F">
            <w:pPr>
              <w:pStyle w:val="idwtablistfree1"/>
            </w:pPr>
            <w:r>
              <w:t>●</w:t>
            </w:r>
            <w:r>
              <w:tab/>
              <w:t>100 % der EEG-Umlage:</w:t>
            </w:r>
          </w:p>
          <w:p w14:paraId="4616A7B0" w14:textId="77777777" w:rsidR="00026C3F" w:rsidRDefault="00026C3F" w:rsidP="00A62E6F">
            <w:pPr>
              <w:pStyle w:val="idwtababs"/>
            </w:pPr>
            <w:r>
              <w:lastRenderedPageBreak/>
              <w:t>EEG-Umlage nach § 61 Abs. 1 Satz 2 bzw. 3 Erneuerbare-Energien-Gesetz in der am 31.12.2016 geltenden Fassung</w:t>
            </w:r>
          </w:p>
        </w:tc>
      </w:tr>
    </w:tbl>
    <w:p w14:paraId="278C7A18" w14:textId="77777777" w:rsidR="00026C3F" w:rsidRDefault="00026C3F" w:rsidP="00026C3F">
      <w:pPr>
        <w:divId w:val="1932812704"/>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054"/>
      </w:tblGrid>
      <w:tr w:rsidR="00026C3F" w14:paraId="25A86A33" w14:textId="77777777" w:rsidTr="00026C3F">
        <w:trPr>
          <w:divId w:val="1932812704"/>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34A4F0" w14:textId="77777777" w:rsidR="00026C3F" w:rsidRDefault="00026C3F" w:rsidP="00A62E6F">
            <w:pPr>
              <w:pStyle w:val="idwtababs"/>
              <w:rPr>
                <w:rFonts w:eastAsiaTheme="minorEastAsia"/>
              </w:rPr>
            </w:pPr>
            <w:r>
              <w:rPr>
                <w:b/>
                <w:bCs w:val="0"/>
              </w:rPr>
              <w:t>Umlagekategorien des Jahres 2015</w:t>
            </w:r>
          </w:p>
        </w:tc>
      </w:tr>
      <w:tr w:rsidR="00026C3F" w14:paraId="1DBB4ABB" w14:textId="77777777" w:rsidTr="00026C3F">
        <w:trPr>
          <w:divId w:val="1932812704"/>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8FEE64B" w14:textId="77777777" w:rsidR="00026C3F" w:rsidRDefault="00026C3F" w:rsidP="00A62E6F">
            <w:pPr>
              <w:pStyle w:val="idwtablistfree1"/>
            </w:pPr>
            <w:r>
              <w:t>●</w:t>
            </w:r>
            <w:r>
              <w:tab/>
              <w:t>30 % der EEG-Umlage:</w:t>
            </w:r>
          </w:p>
          <w:p w14:paraId="75D594D3" w14:textId="77777777" w:rsidR="00026C3F" w:rsidRDefault="00026C3F" w:rsidP="00A62E6F">
            <w:pPr>
              <w:pStyle w:val="idwtababs"/>
            </w:pPr>
            <w:r>
              <w:t>EEG-Umlage nach § 61 Abs. 1 Satz 1 Nr. 1 Erneuerbare-Energien-Gesetz in der am 31.12.2016 geltenden Fassung</w:t>
            </w:r>
          </w:p>
        </w:tc>
      </w:tr>
      <w:tr w:rsidR="00026C3F" w14:paraId="56DBCA7A" w14:textId="77777777" w:rsidTr="00026C3F">
        <w:trPr>
          <w:divId w:val="1932812704"/>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2EA6F3" w14:textId="77777777" w:rsidR="00026C3F" w:rsidRDefault="00026C3F" w:rsidP="00A62E6F">
            <w:pPr>
              <w:pStyle w:val="idwtablistfree1"/>
            </w:pPr>
            <w:r>
              <w:t>●</w:t>
            </w:r>
            <w:r>
              <w:tab/>
              <w:t>100 % der EEG-Umlage:</w:t>
            </w:r>
          </w:p>
          <w:p w14:paraId="59C788E6" w14:textId="77777777" w:rsidR="00026C3F" w:rsidRDefault="00026C3F" w:rsidP="00A62E6F">
            <w:pPr>
              <w:pStyle w:val="idwtababs"/>
            </w:pPr>
            <w:r>
              <w:t>EEG-Umlage nach § 61 Abs. 1 Satz 2 bzw. 3 Erneuerbare-Energien-Gesetz in der am 31.12.2016 geltenden Fassung</w:t>
            </w:r>
          </w:p>
        </w:tc>
      </w:tr>
    </w:tbl>
    <w:p w14:paraId="48F38BE0" w14:textId="77777777" w:rsidR="00026C3F" w:rsidRDefault="00026C3F" w:rsidP="00026C3F">
      <w:pPr>
        <w:divId w:val="1932812704"/>
        <w:rPr>
          <w:vanish/>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54"/>
      </w:tblGrid>
      <w:tr w:rsidR="00026C3F" w14:paraId="2B8530CE" w14:textId="77777777" w:rsidTr="00026C3F">
        <w:trPr>
          <w:divId w:val="1932812704"/>
          <w:tblHeader/>
        </w:trPr>
        <w:tc>
          <w:tcPr>
            <w:tcW w:w="9054" w:type="dxa"/>
            <w:tcBorders>
              <w:top w:val="outset" w:sz="6" w:space="0" w:color="auto"/>
              <w:left w:val="outset" w:sz="6" w:space="0" w:color="auto"/>
              <w:bottom w:val="outset" w:sz="6" w:space="0" w:color="auto"/>
              <w:right w:val="outset" w:sz="6" w:space="0" w:color="auto"/>
            </w:tcBorders>
            <w:hideMark/>
          </w:tcPr>
          <w:p w14:paraId="4249FD3F" w14:textId="77777777" w:rsidR="00026C3F" w:rsidRDefault="00026C3F" w:rsidP="00A62E6F">
            <w:pPr>
              <w:pStyle w:val="idwtababs"/>
              <w:rPr>
                <w:rFonts w:eastAsiaTheme="minorEastAsia"/>
              </w:rPr>
            </w:pPr>
            <w:r>
              <w:rPr>
                <w:b/>
                <w:bCs w:val="0"/>
              </w:rPr>
              <w:t>Umlagekategorien des Jahres 2014</w:t>
            </w:r>
          </w:p>
        </w:tc>
      </w:tr>
      <w:tr w:rsidR="00026C3F" w14:paraId="19DE5654"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2FAE1D4A" w14:textId="77777777" w:rsidR="00026C3F" w:rsidRDefault="00026C3F" w:rsidP="00A62E6F">
            <w:pPr>
              <w:pStyle w:val="idwtablistfree1"/>
            </w:pPr>
            <w:r>
              <w:t>●</w:t>
            </w:r>
            <w:r>
              <w:tab/>
              <w:t>30 % der EEG-Umlage:</w:t>
            </w:r>
          </w:p>
          <w:p w14:paraId="45A65A2D" w14:textId="77777777" w:rsidR="00026C3F" w:rsidRDefault="00026C3F" w:rsidP="00A62E6F">
            <w:pPr>
              <w:pStyle w:val="idwtababs"/>
            </w:pPr>
            <w:r>
              <w:t>EEG-Umlage nach § 61 Abs. 1 Satz 1 Nr. 1 Erneuerbare-Energien-Gesetz in der am 31.12.2016 geltenden Fassung</w:t>
            </w:r>
          </w:p>
        </w:tc>
      </w:tr>
      <w:tr w:rsidR="00026C3F" w14:paraId="7D54EF62" w14:textId="77777777" w:rsidTr="00026C3F">
        <w:trPr>
          <w:divId w:val="1932812704"/>
        </w:trPr>
        <w:tc>
          <w:tcPr>
            <w:tcW w:w="9054" w:type="dxa"/>
            <w:tcBorders>
              <w:top w:val="outset" w:sz="6" w:space="0" w:color="auto"/>
              <w:left w:val="outset" w:sz="6" w:space="0" w:color="auto"/>
              <w:bottom w:val="outset" w:sz="6" w:space="0" w:color="auto"/>
              <w:right w:val="outset" w:sz="6" w:space="0" w:color="auto"/>
            </w:tcBorders>
            <w:hideMark/>
          </w:tcPr>
          <w:p w14:paraId="01A2902A" w14:textId="77777777" w:rsidR="00026C3F" w:rsidRDefault="00026C3F" w:rsidP="00A62E6F">
            <w:pPr>
              <w:pStyle w:val="idwtablistfree1"/>
            </w:pPr>
            <w:r>
              <w:t>●</w:t>
            </w:r>
            <w:r>
              <w:tab/>
              <w:t>100 % der EEG-Umlage:</w:t>
            </w:r>
          </w:p>
          <w:p w14:paraId="54813ED9" w14:textId="77777777" w:rsidR="00026C3F" w:rsidRDefault="00026C3F" w:rsidP="00A62E6F">
            <w:pPr>
              <w:pStyle w:val="idwtababs"/>
            </w:pPr>
            <w:r>
              <w:t>EEG-Umlage nach § 61 Abs. 1 Satz 2 bzw. 3 Erneuerbare-Energien-Gesetz in der am 31.12.2016 geltenden Fassung</w:t>
            </w:r>
          </w:p>
        </w:tc>
      </w:tr>
    </w:tbl>
    <w:p w14:paraId="3E708521" w14:textId="77777777" w:rsidR="00026C3F" w:rsidRDefault="00026C3F" w:rsidP="00026C3F">
      <w:pPr>
        <w:divId w:val="1932812704"/>
      </w:pPr>
    </w:p>
    <w:sectPr w:rsidR="00026C3F" w:rsidSect="00026C3F">
      <w:pgSz w:w="11906" w:h="16838" w:code="9"/>
      <w:pgMar w:top="1701" w:right="1418" w:bottom="1134" w:left="1418" w:header="737" w:footer="397" w:gutter="0"/>
      <w:cols w:space="720"/>
    </w:sectPr>
  </w:body>
</w:document>
</file>

<file path=word/customizations.xml><?xml version="1.0" encoding="utf-8"?>
<wne:tcg xmlns:r="http://schemas.openxmlformats.org/officeDocument/2006/relationships" xmlns:wne="http://schemas.microsoft.com/office/word/2006/wordml">
  <wne:keymaps>
    <wne:keymap wne:kcmPrimary="0248" wne:kcmSecondary="0054">
      <wne:macro wne:macroName="PROJECT.MODUL1.IMPOR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B586" w14:textId="77777777" w:rsidR="008E7051" w:rsidRDefault="008E7051">
      <w:r>
        <w:separator/>
      </w:r>
    </w:p>
  </w:endnote>
  <w:endnote w:type="continuationSeparator" w:id="0">
    <w:p w14:paraId="60097EA1" w14:textId="77777777" w:rsidR="008E7051" w:rsidRDefault="008E7051">
      <w:r>
        <w:continuationSeparator/>
      </w:r>
    </w:p>
  </w:endnote>
  <w:endnote w:type="continuationNotice" w:id="1">
    <w:p w14:paraId="61407B20" w14:textId="77777777" w:rsidR="008E7051" w:rsidRDefault="008E7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DCAC" w14:textId="77777777" w:rsidR="00CE2890" w:rsidRDefault="00CE289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144</w:t>
    </w:r>
    <w:r>
      <w:rPr>
        <w:rStyle w:val="Seitenzahl"/>
      </w:rPr>
      <w:fldChar w:fldCharType="end"/>
    </w:r>
  </w:p>
  <w:p w14:paraId="20317DDD" w14:textId="77777777" w:rsidR="00CE2890" w:rsidRDefault="00CE2890">
    <w:pPr>
      <w:pStyle w:val="Fuzeile"/>
      <w:ind w:right="360"/>
    </w:pPr>
  </w:p>
  <w:p w14:paraId="25B656C9" w14:textId="77777777" w:rsidR="00CE2890" w:rsidRDefault="00CE28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48A3" w14:textId="77777777" w:rsidR="00BF1A1D" w:rsidRDefault="00BF1A1D" w:rsidP="00BF1A1D">
    <w:pPr>
      <w:pStyle w:val="Fuzeile"/>
      <w:tabs>
        <w:tab w:val="clear" w:pos="4536"/>
      </w:tabs>
      <w:spacing w:after="0" w:line="240" w:lineRule="atLeast"/>
      <w:jc w:val="center"/>
    </w:pPr>
    <w:r w:rsidRPr="00F06FB7">
      <w:t xml:space="preserve">Lizenziert für die Informationsplattform der deutschen Übertragungsnetzbetreiber: </w:t>
    </w:r>
    <w:hyperlink r:id="rId1" w:history="1">
      <w:r w:rsidRPr="001D4C42">
        <w:t>www.netztransparenz.de</w:t>
      </w:r>
    </w:hyperlink>
  </w:p>
  <w:p w14:paraId="54DAE53E" w14:textId="4F12ADAD" w:rsidR="00CE2890" w:rsidRDefault="00CE2890" w:rsidP="009070B4">
    <w:pPr>
      <w:pStyle w:val="Fuzeile"/>
      <w:tabs>
        <w:tab w:val="clear" w:pos="4536"/>
        <w:tab w:val="clear" w:pos="9072"/>
        <w:tab w:val="right" w:pos="13892"/>
      </w:tabs>
      <w:spacing w:after="0" w:line="360" w:lineRule="auto"/>
      <w:jc w:val="left"/>
    </w:pPr>
    <w:r w:rsidRPr="006D1A17">
      <w:t>© IDW Verlag GmbH</w:t>
    </w:r>
    <w:r w:rsidR="00BF1A1D">
      <w:tab/>
    </w:r>
    <w:r w:rsidR="00BF1A1D">
      <w:fldChar w:fldCharType="begin"/>
    </w:r>
    <w:r w:rsidR="00BF1A1D">
      <w:instrText xml:space="preserve"> PAGE  \* MERGEFORMAT </w:instrText>
    </w:r>
    <w:r w:rsidR="00BF1A1D">
      <w:fldChar w:fldCharType="separate"/>
    </w:r>
    <w:r w:rsidR="00BF1A1D">
      <w:t>1</w:t>
    </w:r>
    <w:r w:rsidR="00BF1A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DA4" w14:textId="77777777" w:rsidR="00CE2890" w:rsidRDefault="00CE2890">
    <w:pPr>
      <w:pStyle w:val="Fuzeile"/>
      <w:spacing w:before="240" w:after="240"/>
      <w:jc w:val="center"/>
      <w:rPr>
        <w:rStyle w:val="Seitenzah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0D10" w14:textId="77777777" w:rsidR="008E7051" w:rsidRDefault="008E7051">
      <w:r>
        <w:separator/>
      </w:r>
    </w:p>
  </w:footnote>
  <w:footnote w:type="continuationSeparator" w:id="0">
    <w:p w14:paraId="36402A47" w14:textId="77777777" w:rsidR="008E7051" w:rsidRDefault="008E7051" w:rsidP="00282B72">
      <w:r>
        <w:separator/>
      </w:r>
    </w:p>
  </w:footnote>
  <w:footnote w:type="continuationNotice" w:id="1">
    <w:p w14:paraId="3D453406" w14:textId="77777777" w:rsidR="008E7051" w:rsidRDefault="008E7051">
      <w:pPr>
        <w:spacing w:after="0" w:line="240" w:lineRule="auto"/>
      </w:pPr>
    </w:p>
  </w:footnote>
  <w:footnote w:id="2">
    <w:p w14:paraId="25350D08" w14:textId="77777777" w:rsidR="00026C3F" w:rsidRDefault="00026C3F" w:rsidP="00026C3F">
      <w:pPr>
        <w:pStyle w:val="Funotentext"/>
      </w:pPr>
      <w:r>
        <w:rPr>
          <w:rStyle w:val="Funotenzeichen"/>
        </w:rPr>
        <w:footnoteRef/>
      </w:r>
      <w:r>
        <w:tab/>
        <w:t>Vgl. www.netztransparenz.de, unter der Rubrik „Erneuerbare Energien und Umlagen/Abwicklungshinweise und Umsetzungshilfen/EEG“ (letzter Abruf am 19.01.2026).</w:t>
      </w:r>
    </w:p>
  </w:footnote>
  <w:footnote w:id="3">
    <w:p w14:paraId="7F41C032" w14:textId="77777777" w:rsidR="00026C3F" w:rsidRDefault="00026C3F" w:rsidP="00026C3F">
      <w:pPr>
        <w:pStyle w:val="Funotentext"/>
      </w:pPr>
      <w:r>
        <w:rPr>
          <w:rStyle w:val="Funotenzeichen"/>
        </w:rPr>
        <w:footnoteRef/>
      </w:r>
      <w:r>
        <w:tab/>
        <w:t>Vgl. www.netztransparenz.de, unter der Rubrik „Erneuerbare Energien und Umlagen/Abwicklungshinweise und Umsetzungshilfen/KWKG und sonstige Umlagen“ (letzter Abruf am 19.01.2026).</w:t>
      </w:r>
    </w:p>
  </w:footnote>
  <w:footnote w:id="4">
    <w:p w14:paraId="18774BA2" w14:textId="17B83212" w:rsidR="00026C3F" w:rsidRDefault="00026C3F" w:rsidP="00026C3F">
      <w:pPr>
        <w:pStyle w:val="Funotentext"/>
      </w:pPr>
      <w:r>
        <w:rPr>
          <w:rStyle w:val="Funotenzeichen"/>
        </w:rPr>
        <w:footnoteRef/>
      </w:r>
      <w:r>
        <w:tab/>
        <w:t xml:space="preserve">Aufgrund der verkürzten Darstellung der nachträglichen Korrekturen und erhaltenen Zahlungen für Eigenversorgung in Vorjahren sind die relevanten Jahre und EEG-Umlagekategorien anzugeben. Als Hilfestellung findet sich daher in Anlage 3 zu diesem </w:t>
      </w:r>
      <w:r>
        <w:rPr>
          <w:i/>
          <w:iCs/>
        </w:rPr>
        <w:t>IDW Prüfungshinweis</w:t>
      </w:r>
      <w:r>
        <w:t xml:space="preserve"> </w:t>
      </w:r>
      <w:r w:rsidR="00061DFA">
        <w:t xml:space="preserve">[vgl. Abschn. 3 des vorliegenden Musters] </w:t>
      </w:r>
      <w:r>
        <w:t>eine Übersicht über die möglichen EEG-Umlagekategorien der Jahre 2014 bis 2022.</w:t>
      </w:r>
    </w:p>
  </w:footnote>
  <w:footnote w:id="5">
    <w:p w14:paraId="339D36EE" w14:textId="77777777" w:rsidR="00026C3F" w:rsidRDefault="00026C3F" w:rsidP="00026C3F">
      <w:pPr>
        <w:pStyle w:val="Funotentext"/>
      </w:pPr>
      <w:r>
        <w:rPr>
          <w:rStyle w:val="Funotenzeichen"/>
        </w:rPr>
        <w:footnoteRef/>
      </w:r>
      <w:r>
        <w:tab/>
        <w:t xml:space="preserve">Vgl. www.netztransparenz.de, unter der Rubrik „Erneuerbare Energien und Umlagen/Abwicklungshinweise und Umsetzungshilfen/EEG/Hinweis Korrekturen § 20 </w:t>
      </w:r>
      <w:proofErr w:type="spellStart"/>
      <w:r>
        <w:t>EnFG</w:t>
      </w:r>
      <w:proofErr w:type="spellEnd"/>
      <w:r>
        <w:t>“ (letzter Abruf am 19.01.2026).</w:t>
      </w:r>
    </w:p>
  </w:footnote>
  <w:footnote w:id="6">
    <w:p w14:paraId="31512154" w14:textId="77777777" w:rsidR="00026C3F" w:rsidRDefault="00026C3F" w:rsidP="00026C3F">
      <w:pPr>
        <w:pStyle w:val="Funotentext"/>
      </w:pPr>
      <w:r>
        <w:rPr>
          <w:rStyle w:val="Funotenzeichen"/>
        </w:rPr>
        <w:footnoteRef/>
      </w:r>
      <w:r>
        <w:tab/>
        <w:t>Vgl. www.bnetza.de, unter der Rubrik „Energie&gt;Erneuerbare Energien/Kraft-Wärme-Kopplung&gt;Solaranlagen und andere EE-Anlagen“ (letzter Abruf am 19.01.2026).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E1E7" w14:textId="3C30B843" w:rsidR="00B83B2E" w:rsidRPr="00476F2C" w:rsidRDefault="00476F2C" w:rsidP="006B0469">
    <w:pPr>
      <w:pStyle w:val="Kopfzeile"/>
      <w:rPr>
        <w:i w:val="0"/>
        <w:iCs/>
      </w:rPr>
    </w:pPr>
    <w:r w:rsidRPr="00476F2C">
      <w:rPr>
        <w:i w:val="0"/>
        <w:iCs/>
        <w:noProof/>
      </w:rPr>
      <w:drawing>
        <wp:anchor distT="0" distB="0" distL="114300" distR="114300" simplePos="0" relativeHeight="251658240" behindDoc="1" locked="0" layoutInCell="1" allowOverlap="1" wp14:anchorId="0038CE50" wp14:editId="2A3C5905">
          <wp:simplePos x="0" y="0"/>
          <wp:positionH relativeFrom="column">
            <wp:posOffset>4986655</wp:posOffset>
          </wp:positionH>
          <wp:positionV relativeFrom="paragraph">
            <wp:posOffset>-129540</wp:posOffset>
          </wp:positionV>
          <wp:extent cx="1278000" cy="356400"/>
          <wp:effectExtent l="0" t="0" r="0" b="5715"/>
          <wp:wrapTight wrapText="bothSides">
            <wp:wrapPolygon edited="0">
              <wp:start x="0" y="0"/>
              <wp:lineTo x="0" y="20791"/>
              <wp:lineTo x="21256" y="20791"/>
              <wp:lineTo x="21256" y="0"/>
              <wp:lineTo x="0" y="0"/>
            </wp:wrapPolygon>
          </wp:wrapTight>
          <wp:docPr id="882745323" name="Grafik 882745323"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356400"/>
                  </a:xfrm>
                  <a:prstGeom prst="rect">
                    <a:avLst/>
                  </a:prstGeom>
                </pic:spPr>
              </pic:pic>
            </a:graphicData>
          </a:graphic>
          <wp14:sizeRelH relativeFrom="page">
            <wp14:pctWidth>0</wp14:pctWidth>
          </wp14:sizeRelH>
          <wp14:sizeRelV relativeFrom="page">
            <wp14:pctHeight>0</wp14:pctHeight>
          </wp14:sizeRelV>
        </wp:anchor>
      </w:drawing>
    </w:r>
    <w:r w:rsidR="0088177B">
      <w:rPr>
        <w:i w:val="0"/>
        <w:iCs/>
      </w:rPr>
      <w:t xml:space="preserve">Auszug </w:t>
    </w:r>
    <w:r w:rsidR="00BD7DE6">
      <w:rPr>
        <w:i w:val="0"/>
        <w:iCs/>
      </w:rPr>
      <w:t xml:space="preserve">aus </w:t>
    </w:r>
    <w:r w:rsidR="006B0469" w:rsidRPr="00BD7DE6">
      <w:t>IDW PH 9.970.21 (01.202</w:t>
    </w:r>
    <w:r w:rsidR="008A198F" w:rsidRPr="00BD7DE6">
      <w:t>6</w:t>
    </w:r>
    <w:r w:rsidR="006B0469" w:rsidRPr="00BD7DE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FEA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7A4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42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AB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AB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07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AB9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9E1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64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1B95"/>
    <w:multiLevelType w:val="singleLevel"/>
    <w:tmpl w:val="36326EEE"/>
    <w:lvl w:ilvl="0">
      <w:start w:val="1"/>
      <w:numFmt w:val="decimal"/>
      <w:lvlText w:val="%1"/>
      <w:lvlJc w:val="left"/>
      <w:pPr>
        <w:tabs>
          <w:tab w:val="num" w:pos="360"/>
        </w:tabs>
        <w:ind w:left="360" w:hanging="360"/>
      </w:pPr>
      <w:rPr>
        <w:rFonts w:hint="default"/>
      </w:rPr>
    </w:lvl>
  </w:abstractNum>
  <w:abstractNum w:abstractNumId="11" w15:restartNumberingAfterBreak="0">
    <w:nsid w:val="10D03F69"/>
    <w:multiLevelType w:val="multilevel"/>
    <w:tmpl w:val="CD6419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5B2512"/>
    <w:multiLevelType w:val="hybridMultilevel"/>
    <w:tmpl w:val="4CA483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A793975"/>
    <w:multiLevelType w:val="singleLevel"/>
    <w:tmpl w:val="AE30E090"/>
    <w:lvl w:ilvl="0">
      <w:start w:val="1"/>
      <w:numFmt w:val="bullet"/>
      <w:lvlText w:val=""/>
      <w:lvlJc w:val="left"/>
      <w:pPr>
        <w:tabs>
          <w:tab w:val="num" w:pos="1353"/>
        </w:tabs>
        <w:ind w:left="1333" w:hanging="340"/>
      </w:pPr>
      <w:rPr>
        <w:rFonts w:ascii="Symbol" w:hAnsi="Symbol" w:hint="default"/>
      </w:rPr>
    </w:lvl>
  </w:abstractNum>
  <w:abstractNum w:abstractNumId="14" w15:restartNumberingAfterBreak="0">
    <w:nsid w:val="1E6F4FD0"/>
    <w:multiLevelType w:val="multilevel"/>
    <w:tmpl w:val="B0C05AF0"/>
    <w:name w:val="idw_listcharbig_new"/>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183572"/>
    <w:multiLevelType w:val="hybridMultilevel"/>
    <w:tmpl w:val="D5141D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6287E5C"/>
    <w:multiLevelType w:val="singleLevel"/>
    <w:tmpl w:val="35E01B88"/>
    <w:lvl w:ilvl="0">
      <w:start w:val="1"/>
      <w:numFmt w:val="bullet"/>
      <w:lvlText w:val=""/>
      <w:lvlJc w:val="left"/>
      <w:pPr>
        <w:tabs>
          <w:tab w:val="num" w:pos="1211"/>
        </w:tabs>
        <w:ind w:left="1134" w:hanging="283"/>
      </w:pPr>
      <w:rPr>
        <w:rFonts w:ascii="Symbol" w:hAnsi="Symbol"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7D54199"/>
    <w:multiLevelType w:val="multilevel"/>
    <w:tmpl w:val="3E548C96"/>
    <w:name w:val="idw_listdot_new"/>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8A62322"/>
    <w:multiLevelType w:val="multilevel"/>
    <w:tmpl w:val="780C066E"/>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Arial" w:eastAsia="Times New Roman" w:hAnsi="Arial"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B924AA1"/>
    <w:multiLevelType w:val="singleLevel"/>
    <w:tmpl w:val="590C7792"/>
    <w:lvl w:ilvl="0">
      <w:start w:val="1"/>
      <w:numFmt w:val="bullet"/>
      <w:lvlText w:val="–"/>
      <w:lvlJc w:val="left"/>
      <w:pPr>
        <w:tabs>
          <w:tab w:val="num" w:pos="1276"/>
        </w:tabs>
        <w:ind w:left="1276" w:hanging="425"/>
      </w:pPr>
      <w:rPr>
        <w:rFonts w:ascii="Times New Roman" w:hAnsi="Times New Roman" w:hint="default"/>
        <w:sz w:val="24"/>
      </w:rPr>
    </w:lvl>
  </w:abstractNum>
  <w:abstractNum w:abstractNumId="20" w15:restartNumberingAfterBreak="0">
    <w:nsid w:val="318F0A6D"/>
    <w:multiLevelType w:val="multilevel"/>
    <w:tmpl w:val="C9FAF6F4"/>
    <w:lvl w:ilvl="0">
      <w:start w:val="3"/>
      <w:numFmt w:val="decimal"/>
      <w:lvlText w:val="%1."/>
      <w:lvlJc w:val="left"/>
      <w:pPr>
        <w:ind w:left="720" w:hanging="360"/>
      </w:pPr>
      <w:rPr>
        <w:rFonts w:hint="default"/>
      </w:rPr>
    </w:lvl>
    <w:lvl w:ilvl="1">
      <w:start w:val="1"/>
      <w:numFmt w:val="decimal"/>
      <w:isLgl/>
      <w:lvlText w:val="%2."/>
      <w:lvlJc w:val="left"/>
      <w:pPr>
        <w:ind w:left="1080" w:hanging="720"/>
      </w:pPr>
      <w:rPr>
        <w:rFonts w:ascii="Arial" w:eastAsia="Times New Roman" w:hAnsi="Arial"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18218D"/>
    <w:multiLevelType w:val="multilevel"/>
    <w:tmpl w:val="F6084E3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993"/>
        </w:tabs>
        <w:ind w:left="993"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01C06E2"/>
    <w:multiLevelType w:val="multilevel"/>
    <w:tmpl w:val="D6840C64"/>
    <w:lvl w:ilvl="0">
      <w:start w:val="1"/>
      <w:numFmt w:val="ordinal"/>
      <w:lvlText w:val="%1"/>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1134" w:hanging="1134"/>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57756A8F"/>
    <w:multiLevelType w:val="multilevel"/>
    <w:tmpl w:val="7A824BEE"/>
    <w:name w:val="idw_listarabic_new"/>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8DB58EC"/>
    <w:multiLevelType w:val="multilevel"/>
    <w:tmpl w:val="D0864E72"/>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ordinal"/>
      <w:lvlText w:val="%1%4%2%3%5"/>
      <w:lvlJc w:val="left"/>
      <w:pPr>
        <w:tabs>
          <w:tab w:val="num" w:pos="144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1%2%4%3%5%6"/>
      <w:lvlJc w:val="left"/>
      <w:pPr>
        <w:tabs>
          <w:tab w:val="num" w:pos="1701"/>
        </w:tabs>
        <w:ind w:left="1701" w:hanging="1701"/>
      </w:pPr>
      <w:rPr>
        <w:rFonts w:ascii="Arial" w:hAnsi="Arial" w:hint="default"/>
        <w:b/>
        <w:i w:val="0"/>
      </w:rPr>
    </w:lvl>
    <w:lvl w:ilvl="6">
      <w:start w:val="1"/>
      <w:numFmt w:val="ordinal"/>
      <w:lvlText w:val="%1%2%3%4%5%6%7"/>
      <w:lvlJc w:val="left"/>
      <w:pPr>
        <w:tabs>
          <w:tab w:val="num" w:pos="1701"/>
        </w:tabs>
        <w:ind w:left="1701" w:hanging="1701"/>
      </w:pPr>
      <w:rPr>
        <w:rFonts w:ascii="Arial" w:hAnsi="Arial" w:hint="default"/>
        <w:b/>
        <w:i w:val="0"/>
      </w:rPr>
    </w:lvl>
    <w:lvl w:ilvl="7">
      <w:start w:val="1"/>
      <w:numFmt w:val="ordinal"/>
      <w:lvlText w:val="%1%2%3%4%5%6%7%8"/>
      <w:lvlJc w:val="left"/>
      <w:pPr>
        <w:tabs>
          <w:tab w:val="num" w:pos="1701"/>
        </w:tabs>
        <w:ind w:left="1701" w:hanging="1701"/>
      </w:pPr>
      <w:rPr>
        <w:rFonts w:ascii="Arial" w:hAnsi="Arial" w:hint="default"/>
        <w:b/>
        <w:i w:val="0"/>
      </w:rPr>
    </w:lvl>
    <w:lvl w:ilvl="8">
      <w:start w:val="1"/>
      <w:numFmt w:val="ordinal"/>
      <w:lvlText w:val="%1%2%3%4%5%6%7%8%9"/>
      <w:lvlJc w:val="left"/>
      <w:pPr>
        <w:tabs>
          <w:tab w:val="num" w:pos="1800"/>
        </w:tabs>
        <w:ind w:left="1701" w:hanging="1701"/>
      </w:pPr>
      <w:rPr>
        <w:rFonts w:ascii="Arial" w:hAnsi="Arial" w:hint="default"/>
        <w:b/>
        <w:i w:val="0"/>
      </w:rPr>
    </w:lvl>
  </w:abstractNum>
  <w:abstractNum w:abstractNumId="25" w15:restartNumberingAfterBreak="0">
    <w:nsid w:val="779E4639"/>
    <w:multiLevelType w:val="multilevel"/>
    <w:tmpl w:val="D546721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827CF2"/>
    <w:multiLevelType w:val="multilevel"/>
    <w:tmpl w:val="56A8C574"/>
    <w:name w:val="idw_listempty_new"/>
    <w:lvl w:ilvl="0">
      <w:start w:val="1"/>
      <w:numFmt w:val="none"/>
      <w:pStyle w:val="idwlistempty1"/>
      <w:lvlText w:val=""/>
      <w:lvlJc w:val="left"/>
      <w:pPr>
        <w:tabs>
          <w:tab w:val="num" w:pos="567"/>
        </w:tabs>
        <w:ind w:left="567" w:hanging="567"/>
      </w:pPr>
      <w:rPr>
        <w:rFonts w:hint="default"/>
      </w:rPr>
    </w:lvl>
    <w:lvl w:ilvl="1">
      <w:start w:val="1"/>
      <w:numFmt w:val="none"/>
      <w:pStyle w:val="idwlistempty2"/>
      <w:lvlText w:val=""/>
      <w:lvlJc w:val="left"/>
      <w:pPr>
        <w:tabs>
          <w:tab w:val="num" w:pos="1134"/>
        </w:tabs>
        <w:ind w:left="1134" w:hanging="567"/>
      </w:pPr>
      <w:rPr>
        <w:rFonts w:hint="default"/>
      </w:rPr>
    </w:lvl>
    <w:lvl w:ilvl="2">
      <w:start w:val="1"/>
      <w:numFmt w:val="none"/>
      <w:pStyle w:val="idwlistempty3"/>
      <w:lvlText w:val=""/>
      <w:lvlJc w:val="left"/>
      <w:pPr>
        <w:tabs>
          <w:tab w:val="num" w:pos="1701"/>
        </w:tabs>
        <w:ind w:left="1701" w:hanging="567"/>
      </w:pPr>
      <w:rPr>
        <w:rFonts w:hint="default"/>
      </w:rPr>
    </w:lvl>
    <w:lvl w:ilvl="3">
      <w:start w:val="1"/>
      <w:numFmt w:val="none"/>
      <w:pStyle w:val="idwlistempty4"/>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52360273">
    <w:abstractNumId w:val="16"/>
  </w:num>
  <w:num w:numId="2" w16cid:durableId="1218711141">
    <w:abstractNumId w:val="13"/>
  </w:num>
  <w:num w:numId="3" w16cid:durableId="566457289">
    <w:abstractNumId w:val="19"/>
  </w:num>
  <w:num w:numId="4" w16cid:durableId="1073891884">
    <w:abstractNumId w:val="24"/>
  </w:num>
  <w:num w:numId="5" w16cid:durableId="2899190">
    <w:abstractNumId w:val="10"/>
  </w:num>
  <w:num w:numId="6" w16cid:durableId="1301961563">
    <w:abstractNumId w:val="21"/>
  </w:num>
  <w:num w:numId="7" w16cid:durableId="1069109215">
    <w:abstractNumId w:val="25"/>
  </w:num>
  <w:num w:numId="8" w16cid:durableId="1458838418">
    <w:abstractNumId w:val="4"/>
  </w:num>
  <w:num w:numId="9" w16cid:durableId="1469930246">
    <w:abstractNumId w:val="5"/>
  </w:num>
  <w:num w:numId="10" w16cid:durableId="191845650">
    <w:abstractNumId w:val="6"/>
  </w:num>
  <w:num w:numId="11" w16cid:durableId="1794783285">
    <w:abstractNumId w:val="7"/>
  </w:num>
  <w:num w:numId="12" w16cid:durableId="1009140018">
    <w:abstractNumId w:val="9"/>
  </w:num>
  <w:num w:numId="13" w16cid:durableId="1013799334">
    <w:abstractNumId w:val="8"/>
  </w:num>
  <w:num w:numId="14" w16cid:durableId="1709909618">
    <w:abstractNumId w:val="3"/>
  </w:num>
  <w:num w:numId="15" w16cid:durableId="1654719609">
    <w:abstractNumId w:val="2"/>
  </w:num>
  <w:num w:numId="16" w16cid:durableId="1334064828">
    <w:abstractNumId w:val="1"/>
  </w:num>
  <w:num w:numId="17" w16cid:durableId="1144858095">
    <w:abstractNumId w:val="0"/>
  </w:num>
  <w:num w:numId="18" w16cid:durableId="164591845">
    <w:abstractNumId w:val="17"/>
  </w:num>
  <w:num w:numId="19" w16cid:durableId="1520581329">
    <w:abstractNumId w:val="14"/>
  </w:num>
  <w:num w:numId="20" w16cid:durableId="812526649">
    <w:abstractNumId w:val="23"/>
  </w:num>
  <w:num w:numId="21" w16cid:durableId="144325577">
    <w:abstractNumId w:val="26"/>
  </w:num>
  <w:num w:numId="22" w16cid:durableId="193079485">
    <w:abstractNumId w:val="22"/>
  </w:num>
  <w:num w:numId="23" w16cid:durableId="7293822">
    <w:abstractNumId w:val="15"/>
  </w:num>
  <w:num w:numId="24" w16cid:durableId="1007485825">
    <w:abstractNumId w:val="12"/>
  </w:num>
  <w:num w:numId="25" w16cid:durableId="292952939">
    <w:abstractNumId w:val="18"/>
  </w:num>
  <w:num w:numId="26" w16cid:durableId="1739011934">
    <w:abstractNumId w:val="11"/>
  </w:num>
  <w:num w:numId="27" w16cid:durableId="125778966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defaultTabStop w:val="425"/>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ED"/>
    <w:rsid w:val="00001B31"/>
    <w:rsid w:val="00004C3F"/>
    <w:rsid w:val="00011B65"/>
    <w:rsid w:val="00016FCA"/>
    <w:rsid w:val="00024A7E"/>
    <w:rsid w:val="00026C3F"/>
    <w:rsid w:val="000312EA"/>
    <w:rsid w:val="000329B2"/>
    <w:rsid w:val="000406D3"/>
    <w:rsid w:val="00042E2D"/>
    <w:rsid w:val="0005160F"/>
    <w:rsid w:val="00052AED"/>
    <w:rsid w:val="00061DFA"/>
    <w:rsid w:val="000647DA"/>
    <w:rsid w:val="00072315"/>
    <w:rsid w:val="00082D43"/>
    <w:rsid w:val="00083EC0"/>
    <w:rsid w:val="00083FD9"/>
    <w:rsid w:val="00094893"/>
    <w:rsid w:val="000A2331"/>
    <w:rsid w:val="000A26B2"/>
    <w:rsid w:val="000A44FE"/>
    <w:rsid w:val="000B31CD"/>
    <w:rsid w:val="000B5DF0"/>
    <w:rsid w:val="000C0535"/>
    <w:rsid w:val="000C60D4"/>
    <w:rsid w:val="000D0037"/>
    <w:rsid w:val="000D2681"/>
    <w:rsid w:val="000D58FC"/>
    <w:rsid w:val="000D6476"/>
    <w:rsid w:val="000E1A9A"/>
    <w:rsid w:val="000E3B54"/>
    <w:rsid w:val="000E654C"/>
    <w:rsid w:val="000E7743"/>
    <w:rsid w:val="000F1C06"/>
    <w:rsid w:val="000F3B0E"/>
    <w:rsid w:val="00101BE1"/>
    <w:rsid w:val="0012790D"/>
    <w:rsid w:val="001316CC"/>
    <w:rsid w:val="0013213A"/>
    <w:rsid w:val="00132156"/>
    <w:rsid w:val="001347C8"/>
    <w:rsid w:val="00136620"/>
    <w:rsid w:val="00136FB0"/>
    <w:rsid w:val="00137B80"/>
    <w:rsid w:val="00145401"/>
    <w:rsid w:val="0015123D"/>
    <w:rsid w:val="0015129E"/>
    <w:rsid w:val="001532BF"/>
    <w:rsid w:val="00153E3D"/>
    <w:rsid w:val="001635DF"/>
    <w:rsid w:val="00174478"/>
    <w:rsid w:val="00176878"/>
    <w:rsid w:val="00176B3A"/>
    <w:rsid w:val="00181E38"/>
    <w:rsid w:val="00186FCF"/>
    <w:rsid w:val="001916EF"/>
    <w:rsid w:val="00192522"/>
    <w:rsid w:val="00196FA9"/>
    <w:rsid w:val="001A18ED"/>
    <w:rsid w:val="001A7D5E"/>
    <w:rsid w:val="001B364E"/>
    <w:rsid w:val="001B4FA6"/>
    <w:rsid w:val="001B51A6"/>
    <w:rsid w:val="001B76E7"/>
    <w:rsid w:val="001C1349"/>
    <w:rsid w:val="001C2854"/>
    <w:rsid w:val="001C2992"/>
    <w:rsid w:val="001D31D0"/>
    <w:rsid w:val="001D4456"/>
    <w:rsid w:val="001D4C42"/>
    <w:rsid w:val="001D59BB"/>
    <w:rsid w:val="001E67DB"/>
    <w:rsid w:val="001F3B1B"/>
    <w:rsid w:val="001F5BCC"/>
    <w:rsid w:val="002017BC"/>
    <w:rsid w:val="0020257C"/>
    <w:rsid w:val="002033A0"/>
    <w:rsid w:val="00211E7E"/>
    <w:rsid w:val="00216AC4"/>
    <w:rsid w:val="002219AA"/>
    <w:rsid w:val="0022212B"/>
    <w:rsid w:val="002267B5"/>
    <w:rsid w:val="002305C1"/>
    <w:rsid w:val="00232143"/>
    <w:rsid w:val="0023257F"/>
    <w:rsid w:val="00236B92"/>
    <w:rsid w:val="00250936"/>
    <w:rsid w:val="00253BF6"/>
    <w:rsid w:val="00261611"/>
    <w:rsid w:val="002724DD"/>
    <w:rsid w:val="00273AFC"/>
    <w:rsid w:val="00282B72"/>
    <w:rsid w:val="002858DA"/>
    <w:rsid w:val="002862E7"/>
    <w:rsid w:val="00291CF1"/>
    <w:rsid w:val="002942C0"/>
    <w:rsid w:val="0029794F"/>
    <w:rsid w:val="002A0F94"/>
    <w:rsid w:val="002A2D16"/>
    <w:rsid w:val="002A5F01"/>
    <w:rsid w:val="002B5B02"/>
    <w:rsid w:val="002D5EFD"/>
    <w:rsid w:val="002D7733"/>
    <w:rsid w:val="002F61D4"/>
    <w:rsid w:val="00306E2F"/>
    <w:rsid w:val="00322360"/>
    <w:rsid w:val="00322803"/>
    <w:rsid w:val="003256D2"/>
    <w:rsid w:val="00325880"/>
    <w:rsid w:val="00330754"/>
    <w:rsid w:val="00330ADF"/>
    <w:rsid w:val="003430E8"/>
    <w:rsid w:val="00350469"/>
    <w:rsid w:val="00364072"/>
    <w:rsid w:val="00364C42"/>
    <w:rsid w:val="00366F65"/>
    <w:rsid w:val="00367805"/>
    <w:rsid w:val="00372B57"/>
    <w:rsid w:val="00372EE4"/>
    <w:rsid w:val="00376763"/>
    <w:rsid w:val="00377DD3"/>
    <w:rsid w:val="003825FF"/>
    <w:rsid w:val="00385561"/>
    <w:rsid w:val="00386BE4"/>
    <w:rsid w:val="0039359D"/>
    <w:rsid w:val="00396FE9"/>
    <w:rsid w:val="00397205"/>
    <w:rsid w:val="003A313F"/>
    <w:rsid w:val="003B0729"/>
    <w:rsid w:val="003B2994"/>
    <w:rsid w:val="003C1614"/>
    <w:rsid w:val="003C25D9"/>
    <w:rsid w:val="003D3DDD"/>
    <w:rsid w:val="003D54B6"/>
    <w:rsid w:val="003D647B"/>
    <w:rsid w:val="003E0BD5"/>
    <w:rsid w:val="003E37F4"/>
    <w:rsid w:val="003E5346"/>
    <w:rsid w:val="003E5E48"/>
    <w:rsid w:val="00403830"/>
    <w:rsid w:val="00403E80"/>
    <w:rsid w:val="004048E0"/>
    <w:rsid w:val="0040496B"/>
    <w:rsid w:val="0040531B"/>
    <w:rsid w:val="00405530"/>
    <w:rsid w:val="0040693A"/>
    <w:rsid w:val="00410DB0"/>
    <w:rsid w:val="00412627"/>
    <w:rsid w:val="00413840"/>
    <w:rsid w:val="004157F7"/>
    <w:rsid w:val="00420CA1"/>
    <w:rsid w:val="004225FC"/>
    <w:rsid w:val="004229FD"/>
    <w:rsid w:val="00430E80"/>
    <w:rsid w:val="004401EC"/>
    <w:rsid w:val="00444E00"/>
    <w:rsid w:val="00450C06"/>
    <w:rsid w:val="00471B9D"/>
    <w:rsid w:val="00472BF9"/>
    <w:rsid w:val="00472DD6"/>
    <w:rsid w:val="00476F2C"/>
    <w:rsid w:val="0047735F"/>
    <w:rsid w:val="0047774A"/>
    <w:rsid w:val="00487EE4"/>
    <w:rsid w:val="00492B41"/>
    <w:rsid w:val="00496DB0"/>
    <w:rsid w:val="004B5870"/>
    <w:rsid w:val="004C5BCD"/>
    <w:rsid w:val="004D0980"/>
    <w:rsid w:val="004D5574"/>
    <w:rsid w:val="004E3AED"/>
    <w:rsid w:val="004E551F"/>
    <w:rsid w:val="004E563F"/>
    <w:rsid w:val="004F4A06"/>
    <w:rsid w:val="004F4E32"/>
    <w:rsid w:val="004F78E1"/>
    <w:rsid w:val="00502294"/>
    <w:rsid w:val="005146FA"/>
    <w:rsid w:val="00515E25"/>
    <w:rsid w:val="00517BAF"/>
    <w:rsid w:val="00532027"/>
    <w:rsid w:val="005439E6"/>
    <w:rsid w:val="00543ECA"/>
    <w:rsid w:val="00544A0A"/>
    <w:rsid w:val="00554CDD"/>
    <w:rsid w:val="0055720B"/>
    <w:rsid w:val="00560540"/>
    <w:rsid w:val="0056713B"/>
    <w:rsid w:val="00572810"/>
    <w:rsid w:val="00582E45"/>
    <w:rsid w:val="00583B8A"/>
    <w:rsid w:val="00587049"/>
    <w:rsid w:val="00587BE9"/>
    <w:rsid w:val="00590267"/>
    <w:rsid w:val="005958A5"/>
    <w:rsid w:val="005A3A0B"/>
    <w:rsid w:val="005A4026"/>
    <w:rsid w:val="005B05D6"/>
    <w:rsid w:val="005B1E63"/>
    <w:rsid w:val="005B47A0"/>
    <w:rsid w:val="005B61CE"/>
    <w:rsid w:val="005C2775"/>
    <w:rsid w:val="005C3C9E"/>
    <w:rsid w:val="005D2EA5"/>
    <w:rsid w:val="005D689E"/>
    <w:rsid w:val="005E208E"/>
    <w:rsid w:val="005E6E37"/>
    <w:rsid w:val="0060231E"/>
    <w:rsid w:val="00605AC5"/>
    <w:rsid w:val="00607AAB"/>
    <w:rsid w:val="006110F6"/>
    <w:rsid w:val="006163D6"/>
    <w:rsid w:val="00620007"/>
    <w:rsid w:val="006276C1"/>
    <w:rsid w:val="00630535"/>
    <w:rsid w:val="00631E6F"/>
    <w:rsid w:val="0063292B"/>
    <w:rsid w:val="00636130"/>
    <w:rsid w:val="00637897"/>
    <w:rsid w:val="006423A6"/>
    <w:rsid w:val="00660137"/>
    <w:rsid w:val="00661753"/>
    <w:rsid w:val="00666E12"/>
    <w:rsid w:val="006715E7"/>
    <w:rsid w:val="006751BD"/>
    <w:rsid w:val="0067722B"/>
    <w:rsid w:val="00680B03"/>
    <w:rsid w:val="0068226C"/>
    <w:rsid w:val="00682B61"/>
    <w:rsid w:val="00683D38"/>
    <w:rsid w:val="0069399C"/>
    <w:rsid w:val="0069484A"/>
    <w:rsid w:val="006B0469"/>
    <w:rsid w:val="006B335D"/>
    <w:rsid w:val="006D6FDF"/>
    <w:rsid w:val="006E5A0E"/>
    <w:rsid w:val="0070554B"/>
    <w:rsid w:val="0070787B"/>
    <w:rsid w:val="00710167"/>
    <w:rsid w:val="00711945"/>
    <w:rsid w:val="007152EB"/>
    <w:rsid w:val="00716FD1"/>
    <w:rsid w:val="00717703"/>
    <w:rsid w:val="0073173A"/>
    <w:rsid w:val="00740D5E"/>
    <w:rsid w:val="00742772"/>
    <w:rsid w:val="00753D65"/>
    <w:rsid w:val="00753DE5"/>
    <w:rsid w:val="00762983"/>
    <w:rsid w:val="00762A1A"/>
    <w:rsid w:val="007666A1"/>
    <w:rsid w:val="00766F1C"/>
    <w:rsid w:val="00780CDE"/>
    <w:rsid w:val="00786ACE"/>
    <w:rsid w:val="00796358"/>
    <w:rsid w:val="007A06E5"/>
    <w:rsid w:val="007A1C66"/>
    <w:rsid w:val="007A2A87"/>
    <w:rsid w:val="007A4A6C"/>
    <w:rsid w:val="007A74B4"/>
    <w:rsid w:val="007B18DF"/>
    <w:rsid w:val="007B2D83"/>
    <w:rsid w:val="007B7316"/>
    <w:rsid w:val="007C1A4D"/>
    <w:rsid w:val="007C2930"/>
    <w:rsid w:val="007C317A"/>
    <w:rsid w:val="007C401A"/>
    <w:rsid w:val="007C6C2B"/>
    <w:rsid w:val="007D1593"/>
    <w:rsid w:val="007D3F07"/>
    <w:rsid w:val="007D797B"/>
    <w:rsid w:val="007E2B7A"/>
    <w:rsid w:val="007E3740"/>
    <w:rsid w:val="007E5C92"/>
    <w:rsid w:val="00800F2E"/>
    <w:rsid w:val="0080766A"/>
    <w:rsid w:val="00811FC3"/>
    <w:rsid w:val="008130A4"/>
    <w:rsid w:val="00813270"/>
    <w:rsid w:val="0081719A"/>
    <w:rsid w:val="00817ABE"/>
    <w:rsid w:val="00820814"/>
    <w:rsid w:val="00823001"/>
    <w:rsid w:val="0083507C"/>
    <w:rsid w:val="0083536F"/>
    <w:rsid w:val="00836904"/>
    <w:rsid w:val="00842254"/>
    <w:rsid w:val="00845D6F"/>
    <w:rsid w:val="008519D9"/>
    <w:rsid w:val="008633CE"/>
    <w:rsid w:val="00864E1C"/>
    <w:rsid w:val="0087410D"/>
    <w:rsid w:val="0088177B"/>
    <w:rsid w:val="0088345E"/>
    <w:rsid w:val="008848EE"/>
    <w:rsid w:val="00884911"/>
    <w:rsid w:val="008A198F"/>
    <w:rsid w:val="008A4B9F"/>
    <w:rsid w:val="008A63CF"/>
    <w:rsid w:val="008B0549"/>
    <w:rsid w:val="008B3B11"/>
    <w:rsid w:val="008B4192"/>
    <w:rsid w:val="008B797E"/>
    <w:rsid w:val="008C0F2C"/>
    <w:rsid w:val="008C31A2"/>
    <w:rsid w:val="008C6E37"/>
    <w:rsid w:val="008D11D0"/>
    <w:rsid w:val="008D25EE"/>
    <w:rsid w:val="008D36E1"/>
    <w:rsid w:val="008D7965"/>
    <w:rsid w:val="008E079D"/>
    <w:rsid w:val="008E2BEB"/>
    <w:rsid w:val="008E4917"/>
    <w:rsid w:val="008E7051"/>
    <w:rsid w:val="008F0786"/>
    <w:rsid w:val="008F64E4"/>
    <w:rsid w:val="00902620"/>
    <w:rsid w:val="009070B4"/>
    <w:rsid w:val="00910831"/>
    <w:rsid w:val="00913556"/>
    <w:rsid w:val="00917A80"/>
    <w:rsid w:val="009225E0"/>
    <w:rsid w:val="00927ED6"/>
    <w:rsid w:val="009340E7"/>
    <w:rsid w:val="0093605D"/>
    <w:rsid w:val="00937E69"/>
    <w:rsid w:val="00941FDB"/>
    <w:rsid w:val="00945974"/>
    <w:rsid w:val="00954951"/>
    <w:rsid w:val="009576E6"/>
    <w:rsid w:val="0096054A"/>
    <w:rsid w:val="00974C74"/>
    <w:rsid w:val="009753FF"/>
    <w:rsid w:val="00983263"/>
    <w:rsid w:val="00985D12"/>
    <w:rsid w:val="00990633"/>
    <w:rsid w:val="009A2F35"/>
    <w:rsid w:val="009A6725"/>
    <w:rsid w:val="009B0781"/>
    <w:rsid w:val="009B096F"/>
    <w:rsid w:val="009B5274"/>
    <w:rsid w:val="009B65DA"/>
    <w:rsid w:val="009C2982"/>
    <w:rsid w:val="009C3DBB"/>
    <w:rsid w:val="009C52A5"/>
    <w:rsid w:val="009C66DA"/>
    <w:rsid w:val="009D3DD4"/>
    <w:rsid w:val="009E2764"/>
    <w:rsid w:val="009E3F85"/>
    <w:rsid w:val="009E6E27"/>
    <w:rsid w:val="009F5B58"/>
    <w:rsid w:val="00A11308"/>
    <w:rsid w:val="00A11B16"/>
    <w:rsid w:val="00A304CE"/>
    <w:rsid w:val="00A33CAC"/>
    <w:rsid w:val="00A372D6"/>
    <w:rsid w:val="00A448B6"/>
    <w:rsid w:val="00A61675"/>
    <w:rsid w:val="00A709A1"/>
    <w:rsid w:val="00A70E9B"/>
    <w:rsid w:val="00A76585"/>
    <w:rsid w:val="00A821BF"/>
    <w:rsid w:val="00A8634B"/>
    <w:rsid w:val="00A94DF8"/>
    <w:rsid w:val="00AA0A3B"/>
    <w:rsid w:val="00AA6155"/>
    <w:rsid w:val="00AC09DF"/>
    <w:rsid w:val="00AC46C0"/>
    <w:rsid w:val="00AC790D"/>
    <w:rsid w:val="00AD299C"/>
    <w:rsid w:val="00AD64C2"/>
    <w:rsid w:val="00AD732C"/>
    <w:rsid w:val="00AE01D4"/>
    <w:rsid w:val="00AF4581"/>
    <w:rsid w:val="00B128B4"/>
    <w:rsid w:val="00B23190"/>
    <w:rsid w:val="00B26659"/>
    <w:rsid w:val="00B32CC9"/>
    <w:rsid w:val="00B365C1"/>
    <w:rsid w:val="00B40B57"/>
    <w:rsid w:val="00B41B76"/>
    <w:rsid w:val="00B43E43"/>
    <w:rsid w:val="00B50F05"/>
    <w:rsid w:val="00B5242B"/>
    <w:rsid w:val="00B5779D"/>
    <w:rsid w:val="00B65361"/>
    <w:rsid w:val="00B67B65"/>
    <w:rsid w:val="00B71A6E"/>
    <w:rsid w:val="00B7274F"/>
    <w:rsid w:val="00B772D7"/>
    <w:rsid w:val="00B80D9A"/>
    <w:rsid w:val="00B83B2E"/>
    <w:rsid w:val="00B929FC"/>
    <w:rsid w:val="00B9643C"/>
    <w:rsid w:val="00B9750F"/>
    <w:rsid w:val="00BA1EAB"/>
    <w:rsid w:val="00BB02EF"/>
    <w:rsid w:val="00BB1661"/>
    <w:rsid w:val="00BB6D03"/>
    <w:rsid w:val="00BB7413"/>
    <w:rsid w:val="00BC33C1"/>
    <w:rsid w:val="00BC450B"/>
    <w:rsid w:val="00BD2DF1"/>
    <w:rsid w:val="00BD7DE6"/>
    <w:rsid w:val="00BE00BA"/>
    <w:rsid w:val="00BE1782"/>
    <w:rsid w:val="00BE403D"/>
    <w:rsid w:val="00BE41F1"/>
    <w:rsid w:val="00BE50D1"/>
    <w:rsid w:val="00BF1A1D"/>
    <w:rsid w:val="00BF64A0"/>
    <w:rsid w:val="00C02E38"/>
    <w:rsid w:val="00C03B6F"/>
    <w:rsid w:val="00C04DCC"/>
    <w:rsid w:val="00C074B6"/>
    <w:rsid w:val="00C11C6E"/>
    <w:rsid w:val="00C14065"/>
    <w:rsid w:val="00C15BA1"/>
    <w:rsid w:val="00C16277"/>
    <w:rsid w:val="00C22C30"/>
    <w:rsid w:val="00C24600"/>
    <w:rsid w:val="00C33C1E"/>
    <w:rsid w:val="00C4054F"/>
    <w:rsid w:val="00C424A5"/>
    <w:rsid w:val="00C54519"/>
    <w:rsid w:val="00C5654A"/>
    <w:rsid w:val="00C5684A"/>
    <w:rsid w:val="00C67E24"/>
    <w:rsid w:val="00C738D5"/>
    <w:rsid w:val="00C746D4"/>
    <w:rsid w:val="00C7677D"/>
    <w:rsid w:val="00C77819"/>
    <w:rsid w:val="00C95A40"/>
    <w:rsid w:val="00C96C36"/>
    <w:rsid w:val="00CB023F"/>
    <w:rsid w:val="00CB0C6C"/>
    <w:rsid w:val="00CB2EF7"/>
    <w:rsid w:val="00CB3250"/>
    <w:rsid w:val="00CB445C"/>
    <w:rsid w:val="00CB54FE"/>
    <w:rsid w:val="00CB6DA6"/>
    <w:rsid w:val="00CC196E"/>
    <w:rsid w:val="00CD0B96"/>
    <w:rsid w:val="00CD2702"/>
    <w:rsid w:val="00CD29B5"/>
    <w:rsid w:val="00CE2890"/>
    <w:rsid w:val="00CE6424"/>
    <w:rsid w:val="00CF0A8C"/>
    <w:rsid w:val="00CF2138"/>
    <w:rsid w:val="00CF6F8A"/>
    <w:rsid w:val="00CF75AC"/>
    <w:rsid w:val="00D07859"/>
    <w:rsid w:val="00D10B0D"/>
    <w:rsid w:val="00D20087"/>
    <w:rsid w:val="00D24D88"/>
    <w:rsid w:val="00D259E8"/>
    <w:rsid w:val="00D33D3B"/>
    <w:rsid w:val="00D40875"/>
    <w:rsid w:val="00D40FAF"/>
    <w:rsid w:val="00D5089D"/>
    <w:rsid w:val="00D53C69"/>
    <w:rsid w:val="00D62DAA"/>
    <w:rsid w:val="00D642AC"/>
    <w:rsid w:val="00D65D92"/>
    <w:rsid w:val="00D66CBB"/>
    <w:rsid w:val="00D83E0B"/>
    <w:rsid w:val="00D84A85"/>
    <w:rsid w:val="00D87255"/>
    <w:rsid w:val="00D9193C"/>
    <w:rsid w:val="00D93078"/>
    <w:rsid w:val="00D932D0"/>
    <w:rsid w:val="00D948A6"/>
    <w:rsid w:val="00D974CC"/>
    <w:rsid w:val="00DA0254"/>
    <w:rsid w:val="00DA3ECC"/>
    <w:rsid w:val="00DA5FB4"/>
    <w:rsid w:val="00DC5D8C"/>
    <w:rsid w:val="00DC7FDD"/>
    <w:rsid w:val="00DD6DE7"/>
    <w:rsid w:val="00DD7A2B"/>
    <w:rsid w:val="00DE24E0"/>
    <w:rsid w:val="00DE3364"/>
    <w:rsid w:val="00DE3522"/>
    <w:rsid w:val="00E02073"/>
    <w:rsid w:val="00E07690"/>
    <w:rsid w:val="00E10DD9"/>
    <w:rsid w:val="00E26DCA"/>
    <w:rsid w:val="00E27146"/>
    <w:rsid w:val="00E31204"/>
    <w:rsid w:val="00E5080D"/>
    <w:rsid w:val="00E51A1B"/>
    <w:rsid w:val="00E53EDA"/>
    <w:rsid w:val="00E6345E"/>
    <w:rsid w:val="00E65386"/>
    <w:rsid w:val="00E65AC4"/>
    <w:rsid w:val="00E74148"/>
    <w:rsid w:val="00E74B48"/>
    <w:rsid w:val="00E82EE4"/>
    <w:rsid w:val="00E90041"/>
    <w:rsid w:val="00E926E8"/>
    <w:rsid w:val="00E97673"/>
    <w:rsid w:val="00EC089C"/>
    <w:rsid w:val="00EC130A"/>
    <w:rsid w:val="00EC403E"/>
    <w:rsid w:val="00EC5174"/>
    <w:rsid w:val="00EC6145"/>
    <w:rsid w:val="00ED2CCB"/>
    <w:rsid w:val="00ED5D4E"/>
    <w:rsid w:val="00EF1756"/>
    <w:rsid w:val="00EF3B6E"/>
    <w:rsid w:val="00EF6305"/>
    <w:rsid w:val="00F04141"/>
    <w:rsid w:val="00F22EDC"/>
    <w:rsid w:val="00F31823"/>
    <w:rsid w:val="00F31AA6"/>
    <w:rsid w:val="00F33B72"/>
    <w:rsid w:val="00F37E82"/>
    <w:rsid w:val="00F408AF"/>
    <w:rsid w:val="00F41673"/>
    <w:rsid w:val="00F430A6"/>
    <w:rsid w:val="00F4787D"/>
    <w:rsid w:val="00F57B15"/>
    <w:rsid w:val="00F63395"/>
    <w:rsid w:val="00F706AD"/>
    <w:rsid w:val="00F75DFD"/>
    <w:rsid w:val="00F87C9D"/>
    <w:rsid w:val="00FA7319"/>
    <w:rsid w:val="00FB019C"/>
    <w:rsid w:val="00FB5508"/>
    <w:rsid w:val="00FC6318"/>
    <w:rsid w:val="00FD39D4"/>
    <w:rsid w:val="00FD51B7"/>
    <w:rsid w:val="00FD5ADC"/>
    <w:rsid w:val="00FD788B"/>
    <w:rsid w:val="00FE199D"/>
    <w:rsid w:val="00FE248A"/>
    <w:rsid w:val="00FE312F"/>
    <w:rsid w:val="00FF14CF"/>
    <w:rsid w:val="00FF16FF"/>
    <w:rsid w:val="00FF1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5115"/>
  <w15:docId w15:val="{B95B1462-403D-4CF4-9C1B-75AE4D4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6C2B"/>
    <w:pPr>
      <w:spacing w:after="120" w:line="300" w:lineRule="atLeast"/>
      <w:jc w:val="both"/>
    </w:pPr>
    <w:rPr>
      <w:rFonts w:ascii="Arial" w:hAnsi="Arial"/>
      <w:sz w:val="22"/>
    </w:rPr>
  </w:style>
  <w:style w:type="paragraph" w:styleId="berschrift1">
    <w:name w:val="heading 1"/>
    <w:basedOn w:val="Standard"/>
    <w:next w:val="Standard"/>
    <w:link w:val="berschrift1Zchn"/>
    <w:uiPriority w:val="9"/>
    <w:qFormat/>
    <w:rsid w:val="00471B9D"/>
    <w:pPr>
      <w:keepNext/>
      <w:ind w:left="851" w:hanging="851"/>
      <w:outlineLvl w:val="0"/>
    </w:pPr>
    <w:rPr>
      <w:b/>
      <w:kern w:val="28"/>
    </w:rPr>
  </w:style>
  <w:style w:type="paragraph" w:styleId="berschrift2">
    <w:name w:val="heading 2"/>
    <w:basedOn w:val="Standard"/>
    <w:next w:val="Standard"/>
    <w:link w:val="berschrift2Zchn"/>
    <w:uiPriority w:val="9"/>
    <w:qFormat/>
    <w:rsid w:val="00471B9D"/>
    <w:pPr>
      <w:keepNext/>
      <w:tabs>
        <w:tab w:val="left" w:pos="851"/>
        <w:tab w:val="left" w:pos="1134"/>
        <w:tab w:val="left" w:pos="1418"/>
      </w:tabs>
      <w:ind w:left="851" w:hanging="851"/>
      <w:outlineLvl w:val="1"/>
    </w:pPr>
    <w:rPr>
      <w:b/>
    </w:rPr>
  </w:style>
  <w:style w:type="paragraph" w:styleId="berschrift3">
    <w:name w:val="heading 3"/>
    <w:basedOn w:val="Standard"/>
    <w:next w:val="Standard"/>
    <w:link w:val="berschrift3Zchn"/>
    <w:uiPriority w:val="9"/>
    <w:qFormat/>
    <w:rsid w:val="00471B9D"/>
    <w:pPr>
      <w:keepNext/>
      <w:tabs>
        <w:tab w:val="left" w:pos="1134"/>
        <w:tab w:val="left" w:pos="1418"/>
      </w:tabs>
      <w:ind w:left="851" w:hanging="851"/>
      <w:outlineLvl w:val="2"/>
    </w:pPr>
    <w:rPr>
      <w:b/>
    </w:rPr>
  </w:style>
  <w:style w:type="paragraph" w:styleId="berschrift4">
    <w:name w:val="heading 4"/>
    <w:basedOn w:val="Standard"/>
    <w:next w:val="Standard"/>
    <w:link w:val="berschrift4Zchn"/>
    <w:uiPriority w:val="9"/>
    <w:qFormat/>
    <w:rsid w:val="00471B9D"/>
    <w:pPr>
      <w:keepNext/>
      <w:tabs>
        <w:tab w:val="left" w:pos="1134"/>
        <w:tab w:val="left" w:pos="1418"/>
      </w:tabs>
      <w:ind w:left="851" w:hanging="851"/>
      <w:outlineLvl w:val="3"/>
    </w:pPr>
    <w:rPr>
      <w:b/>
    </w:rPr>
  </w:style>
  <w:style w:type="paragraph" w:styleId="berschrift5">
    <w:name w:val="heading 5"/>
    <w:basedOn w:val="Standard"/>
    <w:next w:val="Standard"/>
    <w:link w:val="berschrift5Zchn"/>
    <w:qFormat/>
    <w:rsid w:val="00471B9D"/>
    <w:pPr>
      <w:keepNext/>
      <w:tabs>
        <w:tab w:val="left" w:pos="1134"/>
        <w:tab w:val="left" w:pos="1418"/>
      </w:tabs>
      <w:ind w:left="1134" w:hanging="1134"/>
      <w:outlineLvl w:val="4"/>
    </w:pPr>
    <w:rPr>
      <w:b/>
    </w:rPr>
  </w:style>
  <w:style w:type="paragraph" w:styleId="berschrift6">
    <w:name w:val="heading 6"/>
    <w:basedOn w:val="Standard"/>
    <w:next w:val="Standard"/>
    <w:link w:val="berschrift6Zchn"/>
    <w:qFormat/>
    <w:rsid w:val="00BB02EF"/>
    <w:pPr>
      <w:keepNext/>
      <w:outlineLvl w:val="5"/>
    </w:pPr>
    <w:rPr>
      <w:b/>
    </w:rPr>
  </w:style>
  <w:style w:type="paragraph" w:styleId="berschrift7">
    <w:name w:val="heading 7"/>
    <w:basedOn w:val="Standard"/>
    <w:next w:val="Standard"/>
    <w:link w:val="berschrift7Zchn"/>
    <w:qFormat/>
    <w:rsid w:val="00BB02EF"/>
    <w:pPr>
      <w:keepNext/>
      <w:outlineLvl w:val="6"/>
    </w:pPr>
    <w:rPr>
      <w:b/>
    </w:rPr>
  </w:style>
  <w:style w:type="paragraph" w:styleId="berschrift8">
    <w:name w:val="heading 8"/>
    <w:basedOn w:val="Standard"/>
    <w:next w:val="Standard"/>
    <w:link w:val="berschrift8Zchn"/>
    <w:qFormat/>
    <w:rsid w:val="00BB02EF"/>
    <w:pPr>
      <w:keepNext/>
      <w:outlineLvl w:val="7"/>
    </w:pPr>
    <w:rPr>
      <w:b/>
    </w:rPr>
  </w:style>
  <w:style w:type="paragraph" w:styleId="berschrift9">
    <w:name w:val="heading 9"/>
    <w:basedOn w:val="Standard"/>
    <w:next w:val="Standard"/>
    <w:link w:val="berschrift9Zchn"/>
    <w:qFormat/>
    <w:rsid w:val="00BB02EF"/>
    <w:pPr>
      <w:keepNext/>
      <w:outlineLvl w:val="8"/>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dwlistfree5">
    <w:name w:val="idw_listfree5"/>
    <w:basedOn w:val="idwlistfree4"/>
    <w:qFormat/>
    <w:rsid w:val="00EF3B6E"/>
    <w:pPr>
      <w:ind w:left="2835"/>
    </w:pPr>
  </w:style>
  <w:style w:type="character" w:styleId="Funotenzeichen">
    <w:name w:val="footnote reference"/>
    <w:basedOn w:val="Absatz-Standardschriftart"/>
    <w:autoRedefine/>
    <w:uiPriority w:val="99"/>
    <w:semiHidden/>
    <w:rPr>
      <w:rFonts w:ascii="Arial" w:hAnsi="Arial"/>
      <w:sz w:val="18"/>
      <w:effect w:val="none"/>
      <w:vertAlign w:val="superscript"/>
    </w:rPr>
  </w:style>
  <w:style w:type="paragraph" w:customStyle="1" w:styleId="idwfassung">
    <w:name w:val="idw_fassung"/>
    <w:basedOn w:val="Standard"/>
    <w:next w:val="Standard"/>
    <w:pPr>
      <w:spacing w:line="360" w:lineRule="atLeast"/>
      <w:jc w:val="center"/>
    </w:pPr>
  </w:style>
  <w:style w:type="paragraph" w:customStyle="1" w:styleId="idwanlh1">
    <w:name w:val="idw_anl_h1"/>
    <w:basedOn w:val="Standard"/>
    <w:next w:val="Standard"/>
    <w:rsid w:val="00983263"/>
    <w:pPr>
      <w:keepNext/>
      <w:tabs>
        <w:tab w:val="left" w:pos="851"/>
      </w:tabs>
      <w:jc w:val="left"/>
    </w:pPr>
    <w:rPr>
      <w:b/>
    </w:rPr>
  </w:style>
  <w:style w:type="paragraph" w:styleId="Titel">
    <w:name w:val="Title"/>
    <w:basedOn w:val="Standard"/>
    <w:next w:val="idwfassung"/>
    <w:link w:val="TitelZchn"/>
    <w:uiPriority w:val="10"/>
    <w:qFormat/>
    <w:pPr>
      <w:spacing w:before="240"/>
      <w:jc w:val="center"/>
    </w:pPr>
    <w:rPr>
      <w:b/>
      <w:kern w:val="28"/>
      <w:sz w:val="28"/>
    </w:rPr>
  </w:style>
  <w:style w:type="paragraph" w:customStyle="1" w:styleId="idwanlh2">
    <w:name w:val="idw_anl_h2"/>
    <w:basedOn w:val="Standard"/>
    <w:next w:val="Standard"/>
    <w:rsid w:val="00C15BA1"/>
    <w:pPr>
      <w:keepNext/>
      <w:spacing w:before="240"/>
      <w:jc w:val="left"/>
    </w:pPr>
    <w:rPr>
      <w:b/>
    </w:rPr>
  </w:style>
  <w:style w:type="paragraph" w:customStyle="1" w:styleId="idwanlh3">
    <w:name w:val="idw_anl_h3"/>
    <w:basedOn w:val="Standard"/>
    <w:next w:val="Standard"/>
    <w:rsid w:val="00C15BA1"/>
    <w:pPr>
      <w:keepNext/>
      <w:spacing w:before="240"/>
      <w:jc w:val="left"/>
    </w:pPr>
    <w:rPr>
      <w:b/>
    </w:rPr>
  </w:style>
  <w:style w:type="paragraph" w:styleId="Kopfzeile">
    <w:name w:val="header"/>
    <w:basedOn w:val="Standard"/>
    <w:link w:val="KopfzeileZchn"/>
    <w:pPr>
      <w:tabs>
        <w:tab w:val="center" w:pos="4536"/>
        <w:tab w:val="right" w:pos="9072"/>
      </w:tabs>
      <w:jc w:val="center"/>
    </w:pPr>
    <w:rPr>
      <w:i/>
      <w:sz w:val="18"/>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rPr>
      <w:rFonts w:ascii="Arial" w:hAnsi="Arial"/>
      <w:sz w:val="22"/>
    </w:rPr>
  </w:style>
  <w:style w:type="paragraph" w:styleId="Funotentext">
    <w:name w:val="footnote text"/>
    <w:basedOn w:val="Standard"/>
    <w:link w:val="FunotentextZchn"/>
    <w:uiPriority w:val="99"/>
    <w:semiHidden/>
    <w:pPr>
      <w:tabs>
        <w:tab w:val="left" w:pos="284"/>
      </w:tabs>
      <w:spacing w:after="60" w:line="240" w:lineRule="auto"/>
      <w:ind w:left="284" w:hanging="284"/>
    </w:pPr>
    <w:rPr>
      <w:sz w:val="18"/>
    </w:rPr>
  </w:style>
  <w:style w:type="paragraph" w:styleId="Verzeichnis1">
    <w:name w:val="toc 1"/>
    <w:basedOn w:val="Standard"/>
    <w:next w:val="Standard"/>
    <w:uiPriority w:val="39"/>
    <w:pPr>
      <w:tabs>
        <w:tab w:val="left" w:pos="567"/>
        <w:tab w:val="right" w:leader="dot" w:pos="9072"/>
      </w:tabs>
      <w:spacing w:after="60" w:line="240" w:lineRule="auto"/>
      <w:ind w:left="567" w:right="709" w:hanging="567"/>
      <w:jc w:val="left"/>
    </w:pPr>
  </w:style>
  <w:style w:type="paragraph" w:customStyle="1" w:styleId="idwanlh4">
    <w:name w:val="idw_anl_h4"/>
    <w:basedOn w:val="Standard"/>
    <w:next w:val="Standard"/>
    <w:rsid w:val="00C15BA1"/>
    <w:pPr>
      <w:keepNext/>
      <w:spacing w:before="240"/>
      <w:jc w:val="left"/>
    </w:pPr>
    <w:rPr>
      <w:b/>
    </w:rPr>
  </w:style>
  <w:style w:type="paragraph" w:customStyle="1" w:styleId="idwanlh5">
    <w:name w:val="idw_anl_h5"/>
    <w:basedOn w:val="Standard"/>
    <w:next w:val="Standard"/>
    <w:rsid w:val="00D62DAA"/>
    <w:pPr>
      <w:keepNext/>
      <w:spacing w:before="240"/>
      <w:jc w:val="left"/>
    </w:pPr>
  </w:style>
  <w:style w:type="paragraph" w:styleId="Verzeichnis2">
    <w:name w:val="toc 2"/>
    <w:basedOn w:val="Standard"/>
    <w:next w:val="Standard"/>
    <w:uiPriority w:val="39"/>
    <w:pPr>
      <w:tabs>
        <w:tab w:val="left" w:pos="1134"/>
        <w:tab w:val="right" w:leader="dot" w:pos="9072"/>
      </w:tabs>
      <w:spacing w:after="60" w:line="240" w:lineRule="auto"/>
      <w:ind w:left="1134" w:right="709" w:hanging="567"/>
      <w:jc w:val="left"/>
    </w:pPr>
    <w:rPr>
      <w:noProof/>
    </w:rPr>
  </w:style>
  <w:style w:type="paragraph" w:styleId="Verzeichnis3">
    <w:name w:val="toc 3"/>
    <w:basedOn w:val="Standard"/>
    <w:next w:val="Standard"/>
    <w:uiPriority w:val="39"/>
    <w:pPr>
      <w:tabs>
        <w:tab w:val="left" w:pos="1843"/>
        <w:tab w:val="right" w:leader="dot" w:pos="9072"/>
      </w:tabs>
      <w:spacing w:after="60" w:line="240" w:lineRule="auto"/>
      <w:ind w:left="1843" w:right="709" w:hanging="709"/>
      <w:jc w:val="left"/>
    </w:pPr>
    <w:rPr>
      <w:noProof/>
    </w:rPr>
  </w:style>
  <w:style w:type="paragraph" w:styleId="Verzeichnis4">
    <w:name w:val="toc 4"/>
    <w:basedOn w:val="Standard"/>
    <w:next w:val="Standard"/>
    <w:uiPriority w:val="39"/>
    <w:pPr>
      <w:tabs>
        <w:tab w:val="left" w:pos="2835"/>
        <w:tab w:val="right" w:leader="dot" w:pos="9072"/>
      </w:tabs>
      <w:spacing w:after="60" w:line="240" w:lineRule="auto"/>
      <w:ind w:left="2835" w:right="709" w:hanging="992"/>
      <w:jc w:val="left"/>
    </w:pPr>
    <w:rPr>
      <w:noProof/>
    </w:rPr>
  </w:style>
  <w:style w:type="paragraph" w:customStyle="1" w:styleId="Zwischenberschrift">
    <w:name w:val="Zwischenüberschrift"/>
    <w:basedOn w:val="Standard"/>
    <w:next w:val="Standard"/>
    <w:pPr>
      <w:keepNext/>
      <w:ind w:left="851"/>
    </w:pPr>
    <w:rPr>
      <w:b/>
    </w:rPr>
  </w:style>
  <w:style w:type="paragraph" w:customStyle="1" w:styleId="idwlistempty5">
    <w:name w:val="idw_listempty5"/>
    <w:basedOn w:val="idwlistempty4"/>
    <w:qFormat/>
    <w:rsid w:val="00EF3B6E"/>
    <w:pPr>
      <w:ind w:left="2835"/>
    </w:pPr>
  </w:style>
  <w:style w:type="paragraph" w:styleId="Kommentartext">
    <w:name w:val="annotation text"/>
    <w:basedOn w:val="Standard"/>
    <w:link w:val="KommentartextZchn"/>
    <w:semiHidden/>
    <w:rPr>
      <w:i/>
    </w:rPr>
  </w:style>
  <w:style w:type="character" w:styleId="Hyperlink">
    <w:name w:val="Hyperlink"/>
    <w:basedOn w:val="Absatz-Standardschriftart"/>
    <w:uiPriority w:val="99"/>
    <w:rPr>
      <w:color w:val="0000FF"/>
      <w:u w:val="single"/>
    </w:rPr>
  </w:style>
  <w:style w:type="paragraph" w:customStyle="1" w:styleId="idwlistempty1">
    <w:name w:val="idw_listempty1"/>
    <w:basedOn w:val="Standard"/>
    <w:rsid w:val="005E6E37"/>
    <w:pPr>
      <w:numPr>
        <w:numId w:val="21"/>
      </w:numPr>
      <w:tabs>
        <w:tab w:val="clear" w:pos="567"/>
        <w:tab w:val="num" w:pos="360"/>
      </w:tabs>
      <w:spacing w:after="60"/>
      <w:ind w:left="0" w:firstLine="0"/>
      <w:jc w:val="left"/>
    </w:pPr>
    <w:rPr>
      <w:rFonts w:eastAsia="Arial Unicode MS"/>
      <w:szCs w:val="22"/>
    </w:rPr>
  </w:style>
  <w:style w:type="paragraph" w:styleId="Verzeichnis5">
    <w:name w:val="toc 5"/>
    <w:basedOn w:val="Standard"/>
    <w:next w:val="Standard"/>
    <w:semiHidden/>
    <w:pPr>
      <w:tabs>
        <w:tab w:val="right" w:leader="dot" w:pos="9072"/>
      </w:tabs>
      <w:spacing w:line="240" w:lineRule="auto"/>
      <w:ind w:right="567"/>
    </w:pPr>
  </w:style>
  <w:style w:type="paragraph" w:styleId="Verzeichnis6">
    <w:name w:val="toc 6"/>
    <w:basedOn w:val="Standard"/>
    <w:next w:val="Standard"/>
    <w:semiHidden/>
    <w:pPr>
      <w:tabs>
        <w:tab w:val="left" w:pos="567"/>
        <w:tab w:val="right" w:leader="dot" w:pos="9072"/>
      </w:tabs>
      <w:spacing w:line="240" w:lineRule="auto"/>
    </w:pPr>
  </w:style>
  <w:style w:type="paragraph" w:styleId="Verzeichnis7">
    <w:name w:val="toc 7"/>
    <w:basedOn w:val="Standard"/>
    <w:next w:val="Standard"/>
    <w:semiHidden/>
    <w:pPr>
      <w:tabs>
        <w:tab w:val="left" w:pos="1134"/>
        <w:tab w:val="right" w:leader="dot" w:pos="9072"/>
      </w:tabs>
      <w:spacing w:line="240" w:lineRule="auto"/>
      <w:ind w:left="1134" w:right="709" w:hanging="567"/>
    </w:pPr>
  </w:style>
  <w:style w:type="paragraph" w:styleId="Verzeichnis8">
    <w:name w:val="toc 8"/>
    <w:basedOn w:val="Standard"/>
    <w:next w:val="Standard"/>
    <w:semiHidden/>
    <w:pPr>
      <w:tabs>
        <w:tab w:val="left" w:pos="1843"/>
        <w:tab w:val="right" w:leader="dot" w:pos="9072"/>
      </w:tabs>
      <w:spacing w:line="240" w:lineRule="auto"/>
      <w:ind w:left="1843" w:right="709" w:hanging="709"/>
    </w:pPr>
  </w:style>
  <w:style w:type="paragraph" w:styleId="Verzeichnis9">
    <w:name w:val="toc 9"/>
    <w:basedOn w:val="Standard"/>
    <w:next w:val="Standard"/>
    <w:semiHidden/>
    <w:pPr>
      <w:tabs>
        <w:tab w:val="left" w:pos="2835"/>
        <w:tab w:val="right" w:leader="dot" w:pos="9072"/>
      </w:tabs>
      <w:spacing w:line="240" w:lineRule="auto"/>
      <w:ind w:left="2835" w:right="709" w:hanging="992"/>
    </w:pPr>
  </w:style>
  <w:style w:type="character" w:customStyle="1" w:styleId="KommentartextZchn">
    <w:name w:val="Kommentartext Zchn"/>
    <w:basedOn w:val="Absatz-Standardschriftart"/>
    <w:link w:val="Kommentartext"/>
    <w:semiHidden/>
    <w:rsid w:val="00052AED"/>
    <w:rPr>
      <w:rFonts w:ascii="Arial" w:hAnsi="Arial"/>
      <w:i/>
      <w:sz w:val="22"/>
    </w:rPr>
  </w:style>
  <w:style w:type="paragraph" w:customStyle="1" w:styleId="idwlistempty2">
    <w:name w:val="idw_listempty2"/>
    <w:basedOn w:val="Standard"/>
    <w:rsid w:val="005E6E37"/>
    <w:pPr>
      <w:numPr>
        <w:ilvl w:val="1"/>
        <w:numId w:val="21"/>
      </w:numPr>
      <w:tabs>
        <w:tab w:val="clear" w:pos="1134"/>
        <w:tab w:val="num" w:pos="360"/>
      </w:tabs>
      <w:spacing w:after="60"/>
      <w:ind w:firstLine="0"/>
      <w:jc w:val="left"/>
    </w:pPr>
    <w:rPr>
      <w:rFonts w:eastAsia="Arial Unicode MS"/>
      <w:szCs w:val="22"/>
    </w:rPr>
  </w:style>
  <w:style w:type="paragraph" w:customStyle="1" w:styleId="idwlistempty3">
    <w:name w:val="idw_listempty3"/>
    <w:basedOn w:val="Standard"/>
    <w:rsid w:val="005E6E37"/>
    <w:pPr>
      <w:numPr>
        <w:ilvl w:val="2"/>
        <w:numId w:val="21"/>
      </w:numPr>
      <w:spacing w:after="60"/>
      <w:ind w:firstLine="0"/>
      <w:jc w:val="left"/>
    </w:pPr>
    <w:rPr>
      <w:rFonts w:eastAsia="Arial Unicode MS"/>
      <w:szCs w:val="22"/>
    </w:rPr>
  </w:style>
  <w:style w:type="character" w:styleId="Hervorhebung">
    <w:name w:val="Emphasis"/>
    <w:basedOn w:val="Absatz-Standardschriftart"/>
    <w:uiPriority w:val="20"/>
    <w:qFormat/>
    <w:rsid w:val="009B096F"/>
    <w:rPr>
      <w:i/>
      <w:iCs/>
    </w:rPr>
  </w:style>
  <w:style w:type="character" w:styleId="Kommentarzeichen">
    <w:name w:val="annotation reference"/>
    <w:basedOn w:val="Absatz-Standardschriftart"/>
    <w:uiPriority w:val="99"/>
    <w:rsid w:val="0060231E"/>
    <w:rPr>
      <w:sz w:val="16"/>
      <w:szCs w:val="16"/>
    </w:rPr>
  </w:style>
  <w:style w:type="paragraph" w:styleId="Kommentarthema">
    <w:name w:val="annotation subject"/>
    <w:basedOn w:val="Kommentartext"/>
    <w:next w:val="Kommentartext"/>
    <w:link w:val="KommentarthemaZchn"/>
    <w:rsid w:val="0060231E"/>
    <w:pPr>
      <w:spacing w:line="240" w:lineRule="auto"/>
    </w:pPr>
    <w:rPr>
      <w:b/>
      <w:bCs/>
      <w:i w:val="0"/>
      <w:sz w:val="20"/>
    </w:rPr>
  </w:style>
  <w:style w:type="character" w:customStyle="1" w:styleId="KommentarthemaZchn">
    <w:name w:val="Kommentarthema Zchn"/>
    <w:basedOn w:val="KommentartextZchn"/>
    <w:link w:val="Kommentarthema"/>
    <w:rsid w:val="0060231E"/>
    <w:rPr>
      <w:rFonts w:ascii="Arial" w:hAnsi="Arial"/>
      <w:b/>
      <w:bCs/>
      <w:i w:val="0"/>
      <w:sz w:val="22"/>
    </w:rPr>
  </w:style>
  <w:style w:type="paragraph" w:styleId="Sprechblasentext">
    <w:name w:val="Balloon Text"/>
    <w:basedOn w:val="Standard"/>
    <w:link w:val="SprechblasentextZchn"/>
    <w:rsid w:val="006023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0231E"/>
    <w:rPr>
      <w:rFonts w:ascii="Tahoma" w:hAnsi="Tahoma" w:cs="Tahoma"/>
      <w:sz w:val="16"/>
      <w:szCs w:val="16"/>
    </w:rPr>
  </w:style>
  <w:style w:type="character" w:customStyle="1" w:styleId="FuzeileZchn">
    <w:name w:val="Fußzeile Zchn"/>
    <w:basedOn w:val="Absatz-Standardschriftart"/>
    <w:link w:val="Fuzeile"/>
    <w:rsid w:val="00024A7E"/>
    <w:rPr>
      <w:rFonts w:ascii="Arial" w:hAnsi="Arial"/>
      <w:sz w:val="22"/>
    </w:rPr>
  </w:style>
  <w:style w:type="paragraph" w:customStyle="1" w:styleId="idwabsatz">
    <w:name w:val="idw_absatz"/>
    <w:basedOn w:val="Standard"/>
    <w:qFormat/>
    <w:rsid w:val="00DA5FB4"/>
  </w:style>
  <w:style w:type="paragraph" w:customStyle="1" w:styleId="berschrift0">
    <w:name w:val="Überschrift 0"/>
    <w:basedOn w:val="berschrift1"/>
    <w:qFormat/>
    <w:rsid w:val="00FE199D"/>
    <w:pPr>
      <w:outlineLvl w:val="9"/>
    </w:pPr>
    <w:rPr>
      <w:sz w:val="28"/>
    </w:rPr>
  </w:style>
  <w:style w:type="paragraph" w:customStyle="1" w:styleId="idwrzabsatz">
    <w:name w:val="idw_rzabsatz"/>
    <w:basedOn w:val="Standard"/>
    <w:qFormat/>
    <w:rsid w:val="00DA5FB4"/>
    <w:pPr>
      <w:ind w:hanging="567"/>
    </w:pPr>
  </w:style>
  <w:style w:type="paragraph" w:customStyle="1" w:styleId="idwlistfree1">
    <w:name w:val="idw_listfree1"/>
    <w:basedOn w:val="Standard"/>
    <w:rsid w:val="005E6E37"/>
    <w:pPr>
      <w:spacing w:after="60"/>
      <w:ind w:left="567" w:hanging="567"/>
      <w:jc w:val="left"/>
    </w:pPr>
    <w:rPr>
      <w:rFonts w:eastAsia="Arial Unicode MS"/>
      <w:szCs w:val="22"/>
    </w:rPr>
  </w:style>
  <w:style w:type="paragraph" w:customStyle="1" w:styleId="idwlistfree2">
    <w:name w:val="idw_listfree2"/>
    <w:basedOn w:val="idwlistfree1"/>
    <w:rsid w:val="00EF3B6E"/>
    <w:pPr>
      <w:ind w:left="1134"/>
    </w:pPr>
  </w:style>
  <w:style w:type="paragraph" w:customStyle="1" w:styleId="idwlistfree3">
    <w:name w:val="idw_listfree3"/>
    <w:basedOn w:val="idwlistfree2"/>
    <w:rsid w:val="00EF3B6E"/>
    <w:pPr>
      <w:ind w:left="1701"/>
    </w:pPr>
  </w:style>
  <w:style w:type="paragraph" w:customStyle="1" w:styleId="idwlistfree4">
    <w:name w:val="idw_listfree4"/>
    <w:basedOn w:val="idwlistfree3"/>
    <w:qFormat/>
    <w:rsid w:val="00EF3B6E"/>
    <w:pPr>
      <w:ind w:left="2268"/>
    </w:pPr>
  </w:style>
  <w:style w:type="paragraph" w:customStyle="1" w:styleId="idwlistempty4">
    <w:name w:val="idw_listempty4"/>
    <w:basedOn w:val="idwlistempty3"/>
    <w:qFormat/>
    <w:rsid w:val="00EF3B6E"/>
    <w:pPr>
      <w:numPr>
        <w:ilvl w:val="3"/>
      </w:numPr>
      <w:ind w:firstLine="0"/>
    </w:pPr>
  </w:style>
  <w:style w:type="table" w:styleId="Tabellenraster">
    <w:name w:val="Table Grid"/>
    <w:basedOn w:val="NormaleTabelle"/>
    <w:rsid w:val="00CE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wpotlink">
    <w:name w:val="idw_pot_link"/>
    <w:basedOn w:val="Absatz-Standardschriftart"/>
    <w:uiPriority w:val="1"/>
    <w:rsid w:val="007A74B4"/>
    <w:rPr>
      <w:u w:val="single"/>
      <w:bdr w:val="none" w:sz="0" w:space="0" w:color="auto"/>
      <w:shd w:val="clear" w:color="auto" w:fill="FF99FF"/>
    </w:rPr>
  </w:style>
  <w:style w:type="character" w:customStyle="1" w:styleId="TitelZchn">
    <w:name w:val="Titel Zchn"/>
    <w:basedOn w:val="Absatz-Standardschriftart"/>
    <w:link w:val="Titel"/>
    <w:uiPriority w:val="10"/>
    <w:rsid w:val="008B3B11"/>
    <w:rPr>
      <w:rFonts w:ascii="Arial" w:hAnsi="Arial"/>
      <w:b/>
      <w:kern w:val="28"/>
      <w:sz w:val="28"/>
    </w:rPr>
  </w:style>
  <w:style w:type="character" w:customStyle="1" w:styleId="berschrift1Zchn">
    <w:name w:val="Überschrift 1 Zchn"/>
    <w:basedOn w:val="Absatz-Standardschriftart"/>
    <w:link w:val="berschrift1"/>
    <w:uiPriority w:val="9"/>
    <w:rsid w:val="00471B9D"/>
    <w:rPr>
      <w:rFonts w:ascii="Arial" w:hAnsi="Arial"/>
      <w:b/>
      <w:kern w:val="28"/>
      <w:sz w:val="22"/>
    </w:rPr>
  </w:style>
  <w:style w:type="character" w:customStyle="1" w:styleId="berschrift2Zchn">
    <w:name w:val="Überschrift 2 Zchn"/>
    <w:basedOn w:val="Absatz-Standardschriftart"/>
    <w:link w:val="berschrift2"/>
    <w:uiPriority w:val="9"/>
    <w:rsid w:val="00471B9D"/>
    <w:rPr>
      <w:rFonts w:ascii="Arial" w:hAnsi="Arial"/>
      <w:b/>
      <w:sz w:val="22"/>
    </w:rPr>
  </w:style>
  <w:style w:type="character" w:customStyle="1" w:styleId="berschrift3Zchn">
    <w:name w:val="Überschrift 3 Zchn"/>
    <w:basedOn w:val="Absatz-Standardschriftart"/>
    <w:link w:val="berschrift3"/>
    <w:uiPriority w:val="9"/>
    <w:rsid w:val="00471B9D"/>
    <w:rPr>
      <w:rFonts w:ascii="Arial" w:hAnsi="Arial"/>
      <w:b/>
      <w:sz w:val="22"/>
    </w:rPr>
  </w:style>
  <w:style w:type="character" w:customStyle="1" w:styleId="berschrift4Zchn">
    <w:name w:val="Überschrift 4 Zchn"/>
    <w:basedOn w:val="Absatz-Standardschriftart"/>
    <w:link w:val="berschrift4"/>
    <w:uiPriority w:val="9"/>
    <w:rsid w:val="00471B9D"/>
    <w:rPr>
      <w:rFonts w:ascii="Arial" w:hAnsi="Arial"/>
      <w:b/>
      <w:sz w:val="22"/>
    </w:rPr>
  </w:style>
  <w:style w:type="paragraph" w:customStyle="1" w:styleId="idwh0">
    <w:name w:val="idw_h0"/>
    <w:basedOn w:val="berschrift0"/>
    <w:next w:val="Standard"/>
    <w:rsid w:val="000E3B54"/>
    <w:pPr>
      <w:spacing w:before="480"/>
      <w:jc w:val="left"/>
      <w:outlineLvl w:val="0"/>
    </w:pPr>
  </w:style>
  <w:style w:type="paragraph" w:customStyle="1" w:styleId="idwzw">
    <w:name w:val="idw_zw"/>
    <w:basedOn w:val="Zwischenberschrift"/>
    <w:next w:val="idwabsatz"/>
    <w:rsid w:val="00EF3B6E"/>
    <w:pPr>
      <w:ind w:left="567"/>
    </w:pPr>
  </w:style>
  <w:style w:type="paragraph" w:customStyle="1" w:styleId="idwtababs">
    <w:name w:val="idw_tababs"/>
    <w:basedOn w:val="Standard"/>
    <w:qFormat/>
    <w:rsid w:val="005E6E37"/>
    <w:pPr>
      <w:spacing w:after="80" w:line="260" w:lineRule="exact"/>
      <w:jc w:val="left"/>
    </w:pPr>
    <w:rPr>
      <w:bCs/>
      <w:sz w:val="20"/>
    </w:rPr>
  </w:style>
  <w:style w:type="paragraph" w:customStyle="1" w:styleId="idwtablistfree1">
    <w:name w:val="idw_tablistfree1"/>
    <w:basedOn w:val="idwlistfree1"/>
    <w:qFormat/>
    <w:rsid w:val="005E6E37"/>
    <w:pPr>
      <w:spacing w:line="260" w:lineRule="exact"/>
      <w:ind w:left="340" w:hanging="340"/>
    </w:pPr>
    <w:rPr>
      <w:sz w:val="20"/>
    </w:rPr>
  </w:style>
  <w:style w:type="paragraph" w:customStyle="1" w:styleId="idwtablistempty1">
    <w:name w:val="idw_tablistempty1"/>
    <w:basedOn w:val="idwtablistfree1"/>
    <w:qFormat/>
    <w:rsid w:val="00985D12"/>
    <w:pPr>
      <w:ind w:firstLine="0"/>
    </w:pPr>
  </w:style>
  <w:style w:type="paragraph" w:customStyle="1" w:styleId="idwtablistfree2">
    <w:name w:val="idw_tablistfree2"/>
    <w:basedOn w:val="idwtablistfree1"/>
    <w:qFormat/>
    <w:rsid w:val="00985D12"/>
    <w:pPr>
      <w:ind w:left="680"/>
    </w:pPr>
  </w:style>
  <w:style w:type="paragraph" w:customStyle="1" w:styleId="idwtablistempty2">
    <w:name w:val="idw_tablistempty2"/>
    <w:basedOn w:val="idwtablistempty1"/>
    <w:qFormat/>
    <w:rsid w:val="00985D12"/>
    <w:pPr>
      <w:ind w:left="680"/>
    </w:pPr>
  </w:style>
  <w:style w:type="paragraph" w:customStyle="1" w:styleId="msonormal0">
    <w:name w:val="msonormal"/>
    <w:basedOn w:val="Standard"/>
    <w:rsid w:val="006276C1"/>
    <w:pPr>
      <w:spacing w:before="100" w:beforeAutospacing="1" w:after="100" w:afterAutospacing="1" w:line="240" w:lineRule="auto"/>
      <w:jc w:val="left"/>
    </w:pPr>
    <w:rPr>
      <w:rFonts w:ascii="Times New Roman" w:eastAsiaTheme="minorEastAsia" w:hAnsi="Times New Roman"/>
      <w:sz w:val="24"/>
      <w:szCs w:val="24"/>
    </w:rPr>
  </w:style>
  <w:style w:type="character" w:customStyle="1" w:styleId="FunotentextZchn">
    <w:name w:val="Fußnotentext Zchn"/>
    <w:basedOn w:val="Absatz-Standardschriftart"/>
    <w:link w:val="Funotentext"/>
    <w:uiPriority w:val="99"/>
    <w:semiHidden/>
    <w:rsid w:val="00273AFC"/>
    <w:rPr>
      <w:rFonts w:ascii="Arial" w:hAnsi="Arial"/>
      <w:sz w:val="18"/>
    </w:rPr>
  </w:style>
  <w:style w:type="paragraph" w:customStyle="1" w:styleId="Formatvorlage10PtLinks0cmHngend05cmVor5PtNach5">
    <w:name w:val="Formatvorlage 10 Pt. Links:  0 cm Hängend:  05 cm Vor:  5 Pt. Nach:  5..."/>
    <w:basedOn w:val="Standard"/>
    <w:rsid w:val="007E5C92"/>
    <w:pPr>
      <w:shd w:val="clear" w:color="auto" w:fill="D9D9D9" w:themeFill="background1" w:themeFillShade="D9"/>
      <w:spacing w:before="60" w:after="60" w:line="240" w:lineRule="atLeast"/>
      <w:ind w:left="284" w:hanging="284"/>
    </w:pPr>
    <w:rPr>
      <w:sz w:val="20"/>
    </w:rPr>
  </w:style>
  <w:style w:type="character" w:styleId="NichtaufgelsteErwhnung">
    <w:name w:val="Unresolved Mention"/>
    <w:basedOn w:val="Absatz-Standardschriftart"/>
    <w:uiPriority w:val="99"/>
    <w:semiHidden/>
    <w:unhideWhenUsed/>
    <w:rsid w:val="0068226C"/>
    <w:rPr>
      <w:color w:val="605E5C"/>
      <w:shd w:val="clear" w:color="auto" w:fill="E1DFDD"/>
    </w:rPr>
  </w:style>
  <w:style w:type="paragraph" w:styleId="berarbeitung">
    <w:name w:val="Revision"/>
    <w:hidden/>
    <w:uiPriority w:val="99"/>
    <w:semiHidden/>
    <w:rsid w:val="00EC5174"/>
    <w:rPr>
      <w:rFonts w:ascii="Arial" w:hAnsi="Arial"/>
      <w:sz w:val="22"/>
    </w:rPr>
  </w:style>
  <w:style w:type="character" w:customStyle="1" w:styleId="berschrift5Zchn">
    <w:name w:val="Überschrift 5 Zchn"/>
    <w:basedOn w:val="Absatz-Standardschriftart"/>
    <w:link w:val="berschrift5"/>
    <w:rsid w:val="00026C3F"/>
    <w:rPr>
      <w:rFonts w:ascii="Arial" w:hAnsi="Arial"/>
      <w:b/>
      <w:sz w:val="22"/>
    </w:rPr>
  </w:style>
  <w:style w:type="character" w:customStyle="1" w:styleId="berschrift6Zchn">
    <w:name w:val="Überschrift 6 Zchn"/>
    <w:basedOn w:val="Absatz-Standardschriftart"/>
    <w:link w:val="berschrift6"/>
    <w:rsid w:val="00026C3F"/>
    <w:rPr>
      <w:rFonts w:ascii="Arial" w:hAnsi="Arial"/>
      <w:b/>
      <w:sz w:val="22"/>
    </w:rPr>
  </w:style>
  <w:style w:type="character" w:customStyle="1" w:styleId="berschrift7Zchn">
    <w:name w:val="Überschrift 7 Zchn"/>
    <w:basedOn w:val="Absatz-Standardschriftart"/>
    <w:link w:val="berschrift7"/>
    <w:rsid w:val="00026C3F"/>
    <w:rPr>
      <w:rFonts w:ascii="Arial" w:hAnsi="Arial"/>
      <w:b/>
      <w:sz w:val="22"/>
    </w:rPr>
  </w:style>
  <w:style w:type="character" w:customStyle="1" w:styleId="berschrift8Zchn">
    <w:name w:val="Überschrift 8 Zchn"/>
    <w:basedOn w:val="Absatz-Standardschriftart"/>
    <w:link w:val="berschrift8"/>
    <w:rsid w:val="00026C3F"/>
    <w:rPr>
      <w:rFonts w:ascii="Arial" w:hAnsi="Arial"/>
      <w:b/>
      <w:sz w:val="22"/>
    </w:rPr>
  </w:style>
  <w:style w:type="character" w:customStyle="1" w:styleId="berschrift9Zchn">
    <w:name w:val="Überschrift 9 Zchn"/>
    <w:basedOn w:val="Absatz-Standardschriftart"/>
    <w:link w:val="berschrift9"/>
    <w:rsid w:val="00026C3F"/>
    <w:rPr>
      <w:rFonts w:ascii="Arial" w:hAnsi="Arial"/>
      <w:b/>
      <w:sz w:val="22"/>
    </w:rPr>
  </w:style>
  <w:style w:type="character" w:customStyle="1" w:styleId="KopfzeileZchn">
    <w:name w:val="Kopfzeile Zchn"/>
    <w:basedOn w:val="Absatz-Standardschriftart"/>
    <w:link w:val="Kopfzeile"/>
    <w:rsid w:val="00026C3F"/>
    <w:rPr>
      <w:rFonts w:ascii="Arial" w:hAnsi="Arial"/>
      <w:i/>
      <w:sz w:val="18"/>
    </w:rPr>
  </w:style>
  <w:style w:type="paragraph" w:styleId="Listenabsatz">
    <w:name w:val="List Paragraph"/>
    <w:basedOn w:val="Standard"/>
    <w:uiPriority w:val="34"/>
    <w:qFormat/>
    <w:rsid w:val="00026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3293">
      <w:bodyDiv w:val="1"/>
      <w:marLeft w:val="0"/>
      <w:marRight w:val="0"/>
      <w:marTop w:val="0"/>
      <w:marBottom w:val="0"/>
      <w:divBdr>
        <w:top w:val="none" w:sz="0" w:space="0" w:color="auto"/>
        <w:left w:val="none" w:sz="0" w:space="0" w:color="auto"/>
        <w:bottom w:val="none" w:sz="0" w:space="0" w:color="auto"/>
        <w:right w:val="none" w:sz="0" w:space="0" w:color="auto"/>
      </w:divBdr>
    </w:div>
    <w:div w:id="545072748">
      <w:bodyDiv w:val="1"/>
      <w:marLeft w:val="0"/>
      <w:marRight w:val="0"/>
      <w:marTop w:val="0"/>
      <w:marBottom w:val="0"/>
      <w:divBdr>
        <w:top w:val="none" w:sz="0" w:space="0" w:color="auto"/>
        <w:left w:val="none" w:sz="0" w:space="0" w:color="auto"/>
        <w:bottom w:val="none" w:sz="0" w:space="0" w:color="auto"/>
        <w:right w:val="none" w:sz="0" w:space="0" w:color="auto"/>
      </w:divBdr>
    </w:div>
    <w:div w:id="628391567">
      <w:marLeft w:val="0"/>
      <w:marRight w:val="0"/>
      <w:marTop w:val="0"/>
      <w:marBottom w:val="0"/>
      <w:divBdr>
        <w:top w:val="none" w:sz="0" w:space="0" w:color="auto"/>
        <w:left w:val="none" w:sz="0" w:space="0" w:color="auto"/>
        <w:bottom w:val="none" w:sz="0" w:space="0" w:color="auto"/>
        <w:right w:val="none" w:sz="0" w:space="0" w:color="auto"/>
      </w:divBdr>
    </w:div>
    <w:div w:id="692614319">
      <w:bodyDiv w:val="1"/>
      <w:marLeft w:val="0"/>
      <w:marRight w:val="0"/>
      <w:marTop w:val="0"/>
      <w:marBottom w:val="0"/>
      <w:divBdr>
        <w:top w:val="none" w:sz="0" w:space="0" w:color="auto"/>
        <w:left w:val="none" w:sz="0" w:space="0" w:color="auto"/>
        <w:bottom w:val="none" w:sz="0" w:space="0" w:color="auto"/>
        <w:right w:val="none" w:sz="0" w:space="0" w:color="auto"/>
      </w:divBdr>
      <w:divsChild>
        <w:div w:id="1423330140">
          <w:marLeft w:val="0"/>
          <w:marRight w:val="0"/>
          <w:marTop w:val="0"/>
          <w:marBottom w:val="0"/>
          <w:divBdr>
            <w:top w:val="none" w:sz="0" w:space="0" w:color="auto"/>
            <w:left w:val="none" w:sz="0" w:space="0" w:color="auto"/>
            <w:bottom w:val="none" w:sz="0" w:space="0" w:color="auto"/>
            <w:right w:val="none" w:sz="0" w:space="0" w:color="auto"/>
          </w:divBdr>
        </w:div>
      </w:divsChild>
    </w:div>
    <w:div w:id="699939752">
      <w:bodyDiv w:val="1"/>
      <w:marLeft w:val="0"/>
      <w:marRight w:val="0"/>
      <w:marTop w:val="0"/>
      <w:marBottom w:val="0"/>
      <w:divBdr>
        <w:top w:val="none" w:sz="0" w:space="0" w:color="auto"/>
        <w:left w:val="none" w:sz="0" w:space="0" w:color="auto"/>
        <w:bottom w:val="none" w:sz="0" w:space="0" w:color="auto"/>
        <w:right w:val="none" w:sz="0" w:space="0" w:color="auto"/>
      </w:divBdr>
      <w:divsChild>
        <w:div w:id="1718970245">
          <w:marLeft w:val="0"/>
          <w:marRight w:val="0"/>
          <w:marTop w:val="0"/>
          <w:marBottom w:val="0"/>
          <w:divBdr>
            <w:top w:val="none" w:sz="0" w:space="0" w:color="auto"/>
            <w:left w:val="none" w:sz="0" w:space="0" w:color="auto"/>
            <w:bottom w:val="none" w:sz="0" w:space="0" w:color="auto"/>
            <w:right w:val="none" w:sz="0" w:space="0" w:color="auto"/>
          </w:divBdr>
        </w:div>
        <w:div w:id="1276212500">
          <w:marLeft w:val="0"/>
          <w:marRight w:val="0"/>
          <w:marTop w:val="0"/>
          <w:marBottom w:val="0"/>
          <w:divBdr>
            <w:top w:val="none" w:sz="0" w:space="0" w:color="auto"/>
            <w:left w:val="none" w:sz="0" w:space="0" w:color="auto"/>
            <w:bottom w:val="none" w:sz="0" w:space="0" w:color="auto"/>
            <w:right w:val="none" w:sz="0" w:space="0" w:color="auto"/>
          </w:divBdr>
          <w:divsChild>
            <w:div w:id="250508573">
              <w:marLeft w:val="0"/>
              <w:marRight w:val="0"/>
              <w:marTop w:val="0"/>
              <w:marBottom w:val="0"/>
              <w:divBdr>
                <w:top w:val="none" w:sz="0" w:space="0" w:color="auto"/>
                <w:left w:val="none" w:sz="0" w:space="0" w:color="auto"/>
                <w:bottom w:val="none" w:sz="0" w:space="0" w:color="auto"/>
                <w:right w:val="none" w:sz="0" w:space="0" w:color="auto"/>
              </w:divBdr>
            </w:div>
            <w:div w:id="254366791">
              <w:marLeft w:val="0"/>
              <w:marRight w:val="0"/>
              <w:marTop w:val="0"/>
              <w:marBottom w:val="0"/>
              <w:divBdr>
                <w:top w:val="none" w:sz="0" w:space="0" w:color="auto"/>
                <w:left w:val="none" w:sz="0" w:space="0" w:color="auto"/>
                <w:bottom w:val="none" w:sz="0" w:space="0" w:color="auto"/>
                <w:right w:val="none" w:sz="0" w:space="0" w:color="auto"/>
              </w:divBdr>
            </w:div>
            <w:div w:id="1068265024">
              <w:marLeft w:val="0"/>
              <w:marRight w:val="0"/>
              <w:marTop w:val="0"/>
              <w:marBottom w:val="0"/>
              <w:divBdr>
                <w:top w:val="none" w:sz="0" w:space="0" w:color="auto"/>
                <w:left w:val="none" w:sz="0" w:space="0" w:color="auto"/>
                <w:bottom w:val="none" w:sz="0" w:space="0" w:color="auto"/>
                <w:right w:val="none" w:sz="0" w:space="0" w:color="auto"/>
              </w:divBdr>
            </w:div>
            <w:div w:id="7528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1752">
      <w:bodyDiv w:val="1"/>
      <w:marLeft w:val="0"/>
      <w:marRight w:val="0"/>
      <w:marTop w:val="0"/>
      <w:marBottom w:val="0"/>
      <w:divBdr>
        <w:top w:val="none" w:sz="0" w:space="0" w:color="auto"/>
        <w:left w:val="none" w:sz="0" w:space="0" w:color="auto"/>
        <w:bottom w:val="none" w:sz="0" w:space="0" w:color="auto"/>
        <w:right w:val="none" w:sz="0" w:space="0" w:color="auto"/>
      </w:divBdr>
    </w:div>
    <w:div w:id="1047072344">
      <w:marLeft w:val="0"/>
      <w:marRight w:val="0"/>
      <w:marTop w:val="0"/>
      <w:marBottom w:val="0"/>
      <w:divBdr>
        <w:top w:val="none" w:sz="0" w:space="0" w:color="auto"/>
        <w:left w:val="none" w:sz="0" w:space="0" w:color="auto"/>
        <w:bottom w:val="none" w:sz="0" w:space="0" w:color="auto"/>
        <w:right w:val="none" w:sz="0" w:space="0" w:color="auto"/>
      </w:divBdr>
    </w:div>
    <w:div w:id="1258174560">
      <w:bodyDiv w:val="1"/>
      <w:marLeft w:val="0"/>
      <w:marRight w:val="0"/>
      <w:marTop w:val="0"/>
      <w:marBottom w:val="0"/>
      <w:divBdr>
        <w:top w:val="none" w:sz="0" w:space="0" w:color="auto"/>
        <w:left w:val="none" w:sz="0" w:space="0" w:color="auto"/>
        <w:bottom w:val="none" w:sz="0" w:space="0" w:color="auto"/>
        <w:right w:val="none" w:sz="0" w:space="0" w:color="auto"/>
      </w:divBdr>
    </w:div>
    <w:div w:id="1389260530">
      <w:bodyDiv w:val="1"/>
      <w:marLeft w:val="0"/>
      <w:marRight w:val="0"/>
      <w:marTop w:val="0"/>
      <w:marBottom w:val="0"/>
      <w:divBdr>
        <w:top w:val="none" w:sz="0" w:space="0" w:color="auto"/>
        <w:left w:val="none" w:sz="0" w:space="0" w:color="auto"/>
        <w:bottom w:val="none" w:sz="0" w:space="0" w:color="auto"/>
        <w:right w:val="none" w:sz="0" w:space="0" w:color="auto"/>
      </w:divBdr>
    </w:div>
    <w:div w:id="1789353983">
      <w:marLeft w:val="0"/>
      <w:marRight w:val="0"/>
      <w:marTop w:val="0"/>
      <w:marBottom w:val="0"/>
      <w:divBdr>
        <w:top w:val="none" w:sz="0" w:space="0" w:color="auto"/>
        <w:left w:val="none" w:sz="0" w:space="0" w:color="auto"/>
        <w:bottom w:val="none" w:sz="0" w:space="0" w:color="auto"/>
        <w:right w:val="none" w:sz="0" w:space="0" w:color="auto"/>
      </w:divBdr>
    </w:div>
    <w:div w:id="1897663767">
      <w:bodyDiv w:val="1"/>
      <w:marLeft w:val="0"/>
      <w:marRight w:val="0"/>
      <w:marTop w:val="0"/>
      <w:marBottom w:val="0"/>
      <w:divBdr>
        <w:top w:val="none" w:sz="0" w:space="0" w:color="auto"/>
        <w:left w:val="none" w:sz="0" w:space="0" w:color="auto"/>
        <w:bottom w:val="none" w:sz="0" w:space="0" w:color="auto"/>
        <w:right w:val="none" w:sz="0" w:space="0" w:color="auto"/>
      </w:divBdr>
      <w:divsChild>
        <w:div w:id="376704320">
          <w:marLeft w:val="0"/>
          <w:marRight w:val="0"/>
          <w:marTop w:val="0"/>
          <w:marBottom w:val="0"/>
          <w:divBdr>
            <w:top w:val="none" w:sz="0" w:space="0" w:color="auto"/>
            <w:left w:val="none" w:sz="0" w:space="0" w:color="auto"/>
            <w:bottom w:val="none" w:sz="0" w:space="0" w:color="auto"/>
            <w:right w:val="none" w:sz="0" w:space="0" w:color="auto"/>
          </w:divBdr>
        </w:div>
        <w:div w:id="1609000009">
          <w:marLeft w:val="0"/>
          <w:marRight w:val="0"/>
          <w:marTop w:val="0"/>
          <w:marBottom w:val="0"/>
          <w:divBdr>
            <w:top w:val="none" w:sz="0" w:space="0" w:color="auto"/>
            <w:left w:val="none" w:sz="0" w:space="0" w:color="auto"/>
            <w:bottom w:val="none" w:sz="0" w:space="0" w:color="auto"/>
            <w:right w:val="none" w:sz="0" w:space="0" w:color="auto"/>
          </w:divBdr>
          <w:divsChild>
            <w:div w:id="1665891635">
              <w:marLeft w:val="0"/>
              <w:marRight w:val="0"/>
              <w:marTop w:val="0"/>
              <w:marBottom w:val="0"/>
              <w:divBdr>
                <w:top w:val="none" w:sz="0" w:space="0" w:color="auto"/>
                <w:left w:val="none" w:sz="0" w:space="0" w:color="auto"/>
                <w:bottom w:val="none" w:sz="0" w:space="0" w:color="auto"/>
                <w:right w:val="none" w:sz="0" w:space="0" w:color="auto"/>
              </w:divBdr>
            </w:div>
            <w:div w:id="1300497284">
              <w:marLeft w:val="0"/>
              <w:marRight w:val="0"/>
              <w:marTop w:val="0"/>
              <w:marBottom w:val="0"/>
              <w:divBdr>
                <w:top w:val="none" w:sz="0" w:space="0" w:color="auto"/>
                <w:left w:val="none" w:sz="0" w:space="0" w:color="auto"/>
                <w:bottom w:val="none" w:sz="0" w:space="0" w:color="auto"/>
                <w:right w:val="none" w:sz="0" w:space="0" w:color="auto"/>
              </w:divBdr>
            </w:div>
            <w:div w:id="1852798010">
              <w:marLeft w:val="0"/>
              <w:marRight w:val="0"/>
              <w:marTop w:val="0"/>
              <w:marBottom w:val="0"/>
              <w:divBdr>
                <w:top w:val="none" w:sz="0" w:space="0" w:color="auto"/>
                <w:left w:val="none" w:sz="0" w:space="0" w:color="auto"/>
                <w:bottom w:val="none" w:sz="0" w:space="0" w:color="auto"/>
                <w:right w:val="none" w:sz="0" w:space="0" w:color="auto"/>
              </w:divBdr>
            </w:div>
            <w:div w:id="1958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2704">
      <w:marLeft w:val="0"/>
      <w:marRight w:val="0"/>
      <w:marTop w:val="0"/>
      <w:marBottom w:val="0"/>
      <w:divBdr>
        <w:top w:val="none" w:sz="0" w:space="0" w:color="auto"/>
        <w:left w:val="none" w:sz="0" w:space="0" w:color="auto"/>
        <w:bottom w:val="none" w:sz="0" w:space="0" w:color="auto"/>
        <w:right w:val="none" w:sz="0" w:space="0" w:color="auto"/>
      </w:divBdr>
    </w:div>
    <w:div w:id="19755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package" Target="embeddings/Microsoft_Excel_Worksheet.xls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dw.de/idw-verlag"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Excel_Worksheet1.xls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etztransparen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4882e2-1f66-4103-80d0-0e0e3cad1b51">
      <Terms xmlns="http://schemas.microsoft.com/office/infopath/2007/PartnerControls"/>
    </lcf76f155ced4ddcb4097134ff3c332f>
    <SharedWithUsers xmlns="7e8bd910-5bab-4a0a-912a-55a7569380c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CE971C18F03A429D2F5B77133B5799" ma:contentTypeVersion="12" ma:contentTypeDescription="Ein neues Dokument erstellen." ma:contentTypeScope="" ma:versionID="218b1d2902c635755a705d5f4ca6049d">
  <xsd:schema xmlns:xsd="http://www.w3.org/2001/XMLSchema" xmlns:xs="http://www.w3.org/2001/XMLSchema" xmlns:p="http://schemas.microsoft.com/office/2006/metadata/properties" xmlns:ns2="d74882e2-1f66-4103-80d0-0e0e3cad1b51" xmlns:ns3="7e8bd910-5bab-4a0a-912a-55a7569380cf" targetNamespace="http://schemas.microsoft.com/office/2006/metadata/properties" ma:root="true" ma:fieldsID="d6a7a693a41657bfe900d1805d53a5d5" ns2:_="" ns3:_="">
    <xsd:import namespace="d74882e2-1f66-4103-80d0-0e0e3cad1b51"/>
    <xsd:import namespace="7e8bd910-5bab-4a0a-912a-55a756938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882e2-1f66-4103-80d0-0e0e3cad1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44d5288-69c4-4339-aaf4-381df514ec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bd910-5bab-4a0a-912a-55a7569380c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0710B-76BA-4622-B4EF-04E8868DEFF2}">
  <ds:schemaRefs>
    <ds:schemaRef ds:uri="http://schemas.microsoft.com/office/2006/metadata/properties"/>
    <ds:schemaRef ds:uri="http://schemas.microsoft.com/office/infopath/2007/PartnerControls"/>
    <ds:schemaRef ds:uri="d74882e2-1f66-4103-80d0-0e0e3cad1b51"/>
    <ds:schemaRef ds:uri="7e8bd910-5bab-4a0a-912a-55a7569380cf"/>
  </ds:schemaRefs>
</ds:datastoreItem>
</file>

<file path=customXml/itemProps2.xml><?xml version="1.0" encoding="utf-8"?>
<ds:datastoreItem xmlns:ds="http://schemas.openxmlformats.org/officeDocument/2006/customXml" ds:itemID="{59FCA3F5-7A80-47FB-A484-158D2053DCFF}">
  <ds:schemaRefs>
    <ds:schemaRef ds:uri="http://schemas.microsoft.com/sharepoint/v3/contenttype/forms"/>
  </ds:schemaRefs>
</ds:datastoreItem>
</file>

<file path=customXml/itemProps3.xml><?xml version="1.0" encoding="utf-8"?>
<ds:datastoreItem xmlns:ds="http://schemas.openxmlformats.org/officeDocument/2006/customXml" ds:itemID="{F1B461ED-707B-40A4-997A-CE1D4077320F}">
  <ds:schemaRefs>
    <ds:schemaRef ds:uri="http://schemas.openxmlformats.org/officeDocument/2006/bibliography"/>
  </ds:schemaRefs>
</ds:datastoreItem>
</file>

<file path=customXml/itemProps4.xml><?xml version="1.0" encoding="utf-8"?>
<ds:datastoreItem xmlns:ds="http://schemas.openxmlformats.org/officeDocument/2006/customXml" ds:itemID="{56F50EB2-6C6F-4739-B4A9-EBD8F0FDB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882e2-1f66-4103-80d0-0e0e3cad1b51"/>
    <ds:schemaRef ds:uri="7e8bd910-5bab-4a0a-912a-55a75693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4456</Words>
  <Characters>27628</Characters>
  <Application>Microsoft Office Word</Application>
  <DocSecurity>8</DocSecurity>
  <Lines>673</Lines>
  <Paragraphs>256</Paragraphs>
  <ScaleCrop>false</ScaleCrop>
  <HeadingPairs>
    <vt:vector size="2" baseType="variant">
      <vt:variant>
        <vt:lpstr>Titel</vt:lpstr>
      </vt:variant>
      <vt:variant>
        <vt:i4>1</vt:i4>
      </vt:variant>
    </vt:vector>
  </HeadingPairs>
  <TitlesOfParts>
    <vt:vector size="1" baseType="lpstr">
      <vt:lpstr>Musterformulierungen zum IDW Prüfungshinweis: Besonderheiten der Prüfung nach § 55 Abs. 1 Satz 1 EnFG der zusammengefassten Endabrechnung eines Netzbetreibers i.Z.m. dem Erneuerbare-Energien-Gesetz für das Kalenderjahr 2025 (IDW PH 9.970.21)</vt:lpstr>
    </vt:vector>
  </TitlesOfParts>
  <Company>IDW</Company>
  <LinksUpToDate>false</LinksUpToDate>
  <CharactersWithSpaces>31828</CharactersWithSpaces>
  <SharedDoc>false</SharedDoc>
  <HLinks>
    <vt:vector size="78" baseType="variant">
      <vt:variant>
        <vt:i4>1179697</vt:i4>
      </vt:variant>
      <vt:variant>
        <vt:i4>74</vt:i4>
      </vt:variant>
      <vt:variant>
        <vt:i4>0</vt:i4>
      </vt:variant>
      <vt:variant>
        <vt:i4>5</vt:i4>
      </vt:variant>
      <vt:variant>
        <vt:lpwstr/>
      </vt:variant>
      <vt:variant>
        <vt:lpwstr>_Toc187930448</vt:lpwstr>
      </vt:variant>
      <vt:variant>
        <vt:i4>1179697</vt:i4>
      </vt:variant>
      <vt:variant>
        <vt:i4>68</vt:i4>
      </vt:variant>
      <vt:variant>
        <vt:i4>0</vt:i4>
      </vt:variant>
      <vt:variant>
        <vt:i4>5</vt:i4>
      </vt:variant>
      <vt:variant>
        <vt:lpwstr/>
      </vt:variant>
      <vt:variant>
        <vt:lpwstr>_Toc187930445</vt:lpwstr>
      </vt:variant>
      <vt:variant>
        <vt:i4>1179697</vt:i4>
      </vt:variant>
      <vt:variant>
        <vt:i4>62</vt:i4>
      </vt:variant>
      <vt:variant>
        <vt:i4>0</vt:i4>
      </vt:variant>
      <vt:variant>
        <vt:i4>5</vt:i4>
      </vt:variant>
      <vt:variant>
        <vt:lpwstr/>
      </vt:variant>
      <vt:variant>
        <vt:lpwstr>_Toc187930444</vt:lpwstr>
      </vt:variant>
      <vt:variant>
        <vt:i4>1179697</vt:i4>
      </vt:variant>
      <vt:variant>
        <vt:i4>56</vt:i4>
      </vt:variant>
      <vt:variant>
        <vt:i4>0</vt:i4>
      </vt:variant>
      <vt:variant>
        <vt:i4>5</vt:i4>
      </vt:variant>
      <vt:variant>
        <vt:lpwstr/>
      </vt:variant>
      <vt:variant>
        <vt:lpwstr>_Toc187930443</vt:lpwstr>
      </vt:variant>
      <vt:variant>
        <vt:i4>1179697</vt:i4>
      </vt:variant>
      <vt:variant>
        <vt:i4>50</vt:i4>
      </vt:variant>
      <vt:variant>
        <vt:i4>0</vt:i4>
      </vt:variant>
      <vt:variant>
        <vt:i4>5</vt:i4>
      </vt:variant>
      <vt:variant>
        <vt:lpwstr/>
      </vt:variant>
      <vt:variant>
        <vt:lpwstr>_Toc187930442</vt:lpwstr>
      </vt:variant>
      <vt:variant>
        <vt:i4>1179697</vt:i4>
      </vt:variant>
      <vt:variant>
        <vt:i4>44</vt:i4>
      </vt:variant>
      <vt:variant>
        <vt:i4>0</vt:i4>
      </vt:variant>
      <vt:variant>
        <vt:i4>5</vt:i4>
      </vt:variant>
      <vt:variant>
        <vt:lpwstr/>
      </vt:variant>
      <vt:variant>
        <vt:lpwstr>_Toc187930441</vt:lpwstr>
      </vt:variant>
      <vt:variant>
        <vt:i4>1179697</vt:i4>
      </vt:variant>
      <vt:variant>
        <vt:i4>38</vt:i4>
      </vt:variant>
      <vt:variant>
        <vt:i4>0</vt:i4>
      </vt:variant>
      <vt:variant>
        <vt:i4>5</vt:i4>
      </vt:variant>
      <vt:variant>
        <vt:lpwstr/>
      </vt:variant>
      <vt:variant>
        <vt:lpwstr>_Toc187930440</vt:lpwstr>
      </vt:variant>
      <vt:variant>
        <vt:i4>1376305</vt:i4>
      </vt:variant>
      <vt:variant>
        <vt:i4>32</vt:i4>
      </vt:variant>
      <vt:variant>
        <vt:i4>0</vt:i4>
      </vt:variant>
      <vt:variant>
        <vt:i4>5</vt:i4>
      </vt:variant>
      <vt:variant>
        <vt:lpwstr/>
      </vt:variant>
      <vt:variant>
        <vt:lpwstr>_Toc187930439</vt:lpwstr>
      </vt:variant>
      <vt:variant>
        <vt:i4>1376305</vt:i4>
      </vt:variant>
      <vt:variant>
        <vt:i4>26</vt:i4>
      </vt:variant>
      <vt:variant>
        <vt:i4>0</vt:i4>
      </vt:variant>
      <vt:variant>
        <vt:i4>5</vt:i4>
      </vt:variant>
      <vt:variant>
        <vt:lpwstr/>
      </vt:variant>
      <vt:variant>
        <vt:lpwstr>_Toc187930438</vt:lpwstr>
      </vt:variant>
      <vt:variant>
        <vt:i4>1376305</vt:i4>
      </vt:variant>
      <vt:variant>
        <vt:i4>20</vt:i4>
      </vt:variant>
      <vt:variant>
        <vt:i4>0</vt:i4>
      </vt:variant>
      <vt:variant>
        <vt:i4>5</vt:i4>
      </vt:variant>
      <vt:variant>
        <vt:lpwstr/>
      </vt:variant>
      <vt:variant>
        <vt:lpwstr>_Toc187930437</vt:lpwstr>
      </vt:variant>
      <vt:variant>
        <vt:i4>1376305</vt:i4>
      </vt:variant>
      <vt:variant>
        <vt:i4>14</vt:i4>
      </vt:variant>
      <vt:variant>
        <vt:i4>0</vt:i4>
      </vt:variant>
      <vt:variant>
        <vt:i4>5</vt:i4>
      </vt:variant>
      <vt:variant>
        <vt:lpwstr/>
      </vt:variant>
      <vt:variant>
        <vt:lpwstr>_Toc187930436</vt:lpwstr>
      </vt:variant>
      <vt:variant>
        <vt:i4>1376305</vt:i4>
      </vt:variant>
      <vt:variant>
        <vt:i4>8</vt:i4>
      </vt:variant>
      <vt:variant>
        <vt:i4>0</vt:i4>
      </vt:variant>
      <vt:variant>
        <vt:i4>5</vt:i4>
      </vt:variant>
      <vt:variant>
        <vt:lpwstr/>
      </vt:variant>
      <vt:variant>
        <vt:lpwstr>_Toc187930435</vt:lpwstr>
      </vt:variant>
      <vt:variant>
        <vt:i4>1376305</vt:i4>
      </vt:variant>
      <vt:variant>
        <vt:i4>2</vt:i4>
      </vt:variant>
      <vt:variant>
        <vt:i4>0</vt:i4>
      </vt:variant>
      <vt:variant>
        <vt:i4>5</vt:i4>
      </vt:variant>
      <vt:variant>
        <vt:lpwstr/>
      </vt:variant>
      <vt:variant>
        <vt:lpwstr>_Toc187930434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Musterformulierungen zum IDW Prüfungshinweis: Besonderheiten der Prüfung nach § 55 Abs. 1 Satz 1 EnFG der zusammengefassten Endabrechnung eines Netzbetreibers i.Z.m. dem Erneuerbare-Energien-Gesetz für das Kalenderjahr 2025 (IDW PH 9.970.21)</dc:title>
  <dc:subject>Musterformulierungen zum IDW Prüfungshinweis</dc:subject>
  <dc:creator>AK "Sonstige Betriebswirtschaftliche Prüfungen Energie" | Viehweger@idw.de</dc:creator>
  <cp:keywords>EnFG | EEG 2023 | Netzbetreiber | zusammengefasste Endabrechnung | Verteilernetzbetreiber | Übertragungsnetzbetreiber</cp:keywords>
  <dc:description>Stand: 22.01.20026</dc:description>
  <cp:lastModifiedBy>Viehweger, Catherine</cp:lastModifiedBy>
  <cp:revision>33</cp:revision>
  <cp:lastPrinted>2025-02-03T13:26:00Z</cp:lastPrinted>
  <dcterms:created xsi:type="dcterms:W3CDTF">2026-02-10T08:44:00Z</dcterms:created>
  <dcterms:modified xsi:type="dcterms:W3CDTF">2026-03-13T09:56:00Z</dcterms:modified>
  <cp:category>Musterformulierungen zum IDW Prüfungshinweis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0x010100F0CE971C18F03A429D2F5B77133B5799</vt:lpwstr>
  </property>
  <property fmtid="{D5CDD505-2E9C-101B-9397-08002B2CF9AE}" pid="3" name="MediaServiceImageTags">
    <vt:lpwstr/>
  </property>
  <property fmtid="{D5CDD505-2E9C-101B-9397-08002B2CF9AE}" pid="4" name="Order">
    <vt:r8>2227100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